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p>
    <w:p>
      <w:pPr>
        <w:spacing w:after="0"/>
      </w:pPr>
    </w:p>
    <w:p>
      <w:pPr>
        <w:spacing w:after="0"/>
      </w:pPr>
    </w:p>
    <w:p>
      <w:pPr>
        <w:spacing w:after="0"/>
      </w:pPr>
    </w:p>
    <w:p>
      <w:pPr>
        <w:spacing w:after="400" w:before="0"/>
        <w:jc w:val="center"/>
      </w:pPr>
      <w:r>
        <w:rPr>
          <w:rFonts w:ascii="Times New Roman" w:hAnsi="Times New Roman"/>
          <w:b w:val="0"/>
          <w:caps/>
          <w:color w:val="555555"/>
          <w:sz w:val="24"/>
        </w:rPr>
        <w:t>Prediction Market Consumer Protection Standards</w:t>
      </w:r>
    </w:p>
    <w:p>
      <w:pPr>
        <w:spacing w:after="200" w:before="0"/>
        <w:jc w:val="center"/>
      </w:pPr>
      <w:r>
        <w:rPr>
          <w:rFonts w:ascii="Times New Roman" w:hAnsi="Times New Roman"/>
          <w:b/>
          <w:sz w:val="52"/>
        </w:rPr>
        <w:t>Classification Standard</w:t>
      </w:r>
    </w:p>
    <w:p>
      <w:pPr>
        <w:spacing w:after="520" w:before="0"/>
        <w:jc w:val="center"/>
      </w:pPr>
      <w:r>
        <w:rPr>
          <w:rFonts w:ascii="Times New Roman" w:hAnsi="Times New Roman"/>
          <w:b w:val="0"/>
          <w:color w:val="143C46"/>
          <w:sz w:val="24"/>
        </w:rPr>
        <w:t>PMCPS-C  ·  Version 1.0, Working Draft for Comment</w:t>
      </w:r>
    </w:p>
    <w:p>
      <w:pPr>
        <w:spacing w:after="440"/>
        <w:pBdr>
          <w:bottom w:val="single" w:sz="12" w:space="6" w:color="143C46"/>
        </w:pBdr>
      </w:pPr>
    </w:p>
    <w:p>
      <w:pPr>
        <w:spacing w:after="60"/>
        <w:jc w:val="center"/>
      </w:pPr>
      <w:r>
        <w:rPr>
          <w:rFonts w:ascii="Calibri" w:hAnsi="Calibri"/>
          <w:caps/>
          <w:color w:val="555555"/>
          <w:sz w:val="15"/>
        </w:rPr>
        <w:t xml:space="preserve">PREPARED BY   </w:t>
      </w:r>
      <w:r>
        <w:rPr>
          <w:rFonts w:ascii="Times New Roman" w:hAnsi="Times New Roman"/>
          <w:b/>
          <w:sz w:val="24"/>
        </w:rPr>
        <w:t>Tony Morelli, PhD</w:t>
      </w:r>
    </w:p>
    <w:p>
      <w:pPr>
        <w:spacing w:after="60"/>
        <w:jc w:val="center"/>
      </w:pPr>
      <w:r>
        <w:rPr>
          <w:rFonts w:ascii="Times New Roman" w:hAnsi="Times New Roman"/>
          <w:b/>
          <w:sz w:val="24"/>
        </w:rPr>
        <w:t>Institute for Emerging Gaming Markets | Aevora Solutions LLC</w:t>
      </w:r>
    </w:p>
    <w:p>
      <w:pPr>
        <w:spacing w:after="60"/>
        <w:jc w:val="center"/>
      </w:pPr>
      <w:r>
        <w:rPr>
          <w:rFonts w:ascii="Calibri" w:hAnsi="Calibri"/>
          <w:caps/>
          <w:color w:val="555555"/>
          <w:sz w:val="15"/>
        </w:rPr>
        <w:t xml:space="preserve">ISSUED   </w:t>
      </w:r>
      <w:r>
        <w:rPr>
          <w:rFonts w:ascii="Times New Roman" w:hAnsi="Times New Roman"/>
          <w:b w:val="0"/>
          <w:sz w:val="24"/>
        </w:rPr>
        <w:t>August 2026</w:t>
      </w:r>
    </w:p>
    <w:p>
      <w:pPr>
        <w:spacing w:after="60"/>
        <w:jc w:val="center"/>
      </w:pPr>
      <w:r>
        <w:rPr>
          <w:rFonts w:ascii="Calibri" w:hAnsi="Calibri"/>
          <w:caps/>
          <w:color w:val="555555"/>
          <w:sz w:val="15"/>
        </w:rPr>
        <w:t xml:space="preserve">DESIGNATION   </w:t>
      </w:r>
      <w:r>
        <w:rPr>
          <w:rFonts w:ascii="Times New Roman" w:hAnsi="Times New Roman"/>
          <w:b w:val="0"/>
          <w:sz w:val="24"/>
        </w:rPr>
        <w:t>PMCPS-C</w:t>
      </w:r>
    </w:p>
    <w:p>
      <w:pPr>
        <w:spacing w:before="520"/>
        <w:pBdr>
          <w:top w:val="single" w:sz="6" w:space="6" w:color="8A8A8A"/>
        </w:pBdr>
      </w:pPr>
    </w:p>
    <w:p>
      <w:pPr>
        <w:spacing w:before="200"/>
        <w:jc w:val="center"/>
      </w:pPr>
      <w:r>
        <w:rPr>
          <w:rFonts w:ascii="Calibri" w:hAnsi="Calibri"/>
          <w:b/>
          <w:color w:val="8C3D1C"/>
          <w:sz w:val="18"/>
        </w:rPr>
        <w:t>STATUS:  Draft. Not adopted by any regulatory authority.</w:t>
      </w:r>
    </w:p>
    <w:p>
      <w:r>
        <w:br w:type="page"/>
      </w:r>
    </w:p>
    <w:p>
      <w:pPr>
        <w:spacing w:after="200"/>
        <w:pBdr>
          <w:bottom w:val="single" w:sz="6" w:space="6" w:color="8A8A8A"/>
        </w:pBdr>
      </w:pPr>
      <w:r>
        <w:rPr>
          <w:rFonts w:ascii="Calibri" w:hAnsi="Calibri"/>
          <w:b/>
          <w:sz w:val="22"/>
        </w:rPr>
        <w:t>CONTENTS</w:t>
      </w:r>
    </w:p>
    <w:p>
      <w:r>
        <w:fldChar w:fldCharType="begin"/>
        <w:instrText xml:space="preserve">TOC \o "1-2" \h \z \u</w:instrText>
        <w:fldChar w:fldCharType="separate"/>
        <w:t> </w:t>
        <w:fldChar w:fldCharType="end"/>
      </w:r>
    </w:p>
    <w:p>
      <w:r>
        <w:rPr>
          <w:i/>
          <w:color w:val="555555"/>
          <w:sz w:val="17"/>
        </w:rPr>
        <w:t>If the contents above appear blank, select the field and press F9 to build it.</w:t>
      </w:r>
    </w:p>
    <w:p>
      <w:r>
        <w:br w:type="page"/>
      </w:r>
    </w:p>
    <w:p>
      <w:pPr>
        <w:pStyle w:val="Heading1"/>
        <w:pBdr>
          <w:bottom w:val="single" w:sz="8" w:space="6" w:color="143C46"/>
        </w:pBdr>
      </w:pPr>
      <w:r>
        <w:rPr>
          <w:rFonts w:ascii="Times New Roman" w:hAnsi="Times New Roman"/>
          <w:b/>
          <w:color w:val="000000"/>
          <w:sz w:val="26"/>
        </w:rPr>
        <w:t>Prefatory Note</w:t>
      </w:r>
    </w:p>
    <w:p>
      <w:pPr>
        <w:jc w:val="both"/>
      </w:pPr>
      <w:r>
        <w:rPr>
          <w:rFonts w:ascii="Times New Roman" w:hAnsi="Times New Roman"/>
          <w:sz w:val="22"/>
        </w:rPr>
        <w:t>This is the classification standard in the PMCPS family. It determines which products are subject to the family, and nothing else. It imposes no operating requirement on anyone.</w:t>
      </w:r>
    </w:p>
    <w:p>
      <w:pPr>
        <w:jc w:val="both"/>
      </w:pPr>
      <w:r>
        <w:rPr>
          <w:rFonts w:ascii="Times New Roman" w:hAnsi="Times New Roman"/>
          <w:sz w:val="22"/>
        </w:rPr>
        <w:t>The family follows the three-layer structure used in Indian gaming regulation, where classification, internal controls, and technical standards are published separately and do different work:</w:t>
      </w:r>
    </w:p>
    <w:tbl>
      <w:tblPr>
        <w:tblStyle w:val="TableGrid"/>
        <w:tblW w:type="auto" w:w="0"/>
        <w:jc w:val="center"/>
        <w:tblLayout w:type="autofit"/>
        <w:tblLook w:firstColumn="1" w:firstRow="1" w:lastColumn="0" w:lastRow="0" w:noHBand="0" w:noVBand="1" w:val="04A0"/>
      </w:tblPr>
      <w:tblGrid>
        <w:gridCol w:w="2232"/>
        <w:gridCol w:w="2232"/>
        <w:gridCol w:w="2232"/>
        <w:gridCol w:w="2232"/>
      </w:tblGrid>
      <w:tr>
        <w:tc>
          <w:tcPr>
            <w:tcW w:type="dxa" w:w="2232"/>
            <w:shd w:val="clear" w:color="auto" w:fill="E8ECEE"/>
          </w:tcPr>
          <w:p>
            <w:pPr>
              <w:spacing w:after="40" w:before="40"/>
            </w:pPr>
            <w:r/>
            <w:r>
              <w:rPr>
                <w:rFonts w:ascii="Calibri" w:hAnsi="Calibri"/>
                <w:b/>
                <w:sz w:val="16"/>
              </w:rPr>
              <w:t>Layer</w:t>
            </w:r>
          </w:p>
        </w:tc>
        <w:tc>
          <w:tcPr>
            <w:tcW w:type="dxa" w:w="2232"/>
            <w:shd w:val="clear" w:color="auto" w:fill="E8ECEE"/>
          </w:tcPr>
          <w:p>
            <w:pPr>
              <w:spacing w:after="40" w:before="40"/>
            </w:pPr>
            <w:r/>
            <w:r>
              <w:rPr>
                <w:rFonts w:ascii="Calibri" w:hAnsi="Calibri"/>
                <w:b/>
                <w:sz w:val="16"/>
              </w:rPr>
              <w:t>Document</w:t>
            </w:r>
          </w:p>
        </w:tc>
        <w:tc>
          <w:tcPr>
            <w:tcW w:type="dxa" w:w="2232"/>
            <w:shd w:val="clear" w:color="auto" w:fill="E8ECEE"/>
          </w:tcPr>
          <w:p>
            <w:pPr>
              <w:spacing w:after="40" w:before="40"/>
            </w:pPr>
            <w:r/>
            <w:r>
              <w:rPr>
                <w:rFonts w:ascii="Calibri" w:hAnsi="Calibri"/>
                <w:b/>
                <w:sz w:val="16"/>
              </w:rPr>
              <w:t>Federal analogue</w:t>
            </w:r>
          </w:p>
        </w:tc>
        <w:tc>
          <w:tcPr>
            <w:tcW w:type="dxa" w:w="2232"/>
            <w:shd w:val="clear" w:color="auto" w:fill="E8ECEE"/>
          </w:tcPr>
          <w:p>
            <w:pPr>
              <w:spacing w:after="40" w:before="40"/>
            </w:pPr>
            <w:r/>
            <w:r>
              <w:rPr>
                <w:rFonts w:ascii="Calibri" w:hAnsi="Calibri"/>
                <w:b/>
                <w:sz w:val="16"/>
              </w:rPr>
              <w:t>Question answered</w:t>
            </w:r>
          </w:p>
        </w:tc>
      </w:tr>
      <w:tr>
        <w:tc>
          <w:tcPr>
            <w:tcW w:type="dxa" w:w="2232"/>
          </w:tcPr>
          <w:p>
            <w:pPr>
              <w:spacing w:after="40" w:before="40"/>
            </w:pPr>
            <w:r/>
            <w:r>
              <w:rPr>
                <w:rFonts w:ascii="Times New Roman" w:hAnsi="Times New Roman"/>
                <w:sz w:val="17"/>
              </w:rPr>
              <w:t>Classification</w:t>
            </w:r>
          </w:p>
        </w:tc>
        <w:tc>
          <w:tcPr>
            <w:tcW w:type="dxa" w:w="2232"/>
          </w:tcPr>
          <w:p>
            <w:pPr>
              <w:spacing w:after="40" w:before="40"/>
            </w:pPr>
            <w:r/>
            <w:r>
              <w:rPr>
                <w:rFonts w:ascii="Times New Roman" w:hAnsi="Times New Roman"/>
                <w:b/>
                <w:sz w:val="17"/>
              </w:rPr>
              <w:t>PMCPS-C</w:t>
            </w:r>
          </w:p>
        </w:tc>
        <w:tc>
          <w:tcPr>
            <w:tcW w:type="dxa" w:w="2232"/>
          </w:tcPr>
          <w:p>
            <w:pPr>
              <w:spacing w:after="40" w:before="40"/>
            </w:pPr>
            <w:r/>
            <w:r>
              <w:rPr>
                <w:rFonts w:ascii="Times New Roman" w:hAnsi="Times New Roman"/>
                <w:sz w:val="17"/>
              </w:rPr>
              <w:t>25 C.F.R. pt. 502</w:t>
            </w:r>
          </w:p>
        </w:tc>
        <w:tc>
          <w:tcPr>
            <w:tcW w:type="dxa" w:w="2232"/>
          </w:tcPr>
          <w:p>
            <w:pPr>
              <w:spacing w:after="40" w:before="40"/>
            </w:pPr>
            <w:r/>
            <w:r>
              <w:rPr>
                <w:rFonts w:ascii="Times New Roman" w:hAnsi="Times New Roman"/>
                <w:sz w:val="17"/>
              </w:rPr>
              <w:t>Is the product in scope?</w:t>
            </w:r>
          </w:p>
        </w:tc>
      </w:tr>
      <w:tr>
        <w:tc>
          <w:tcPr>
            <w:tcW w:type="dxa" w:w="2232"/>
          </w:tcPr>
          <w:p>
            <w:pPr>
              <w:spacing w:after="40" w:before="40"/>
            </w:pPr>
            <w:r/>
            <w:r>
              <w:rPr>
                <w:rFonts w:ascii="Times New Roman" w:hAnsi="Times New Roman"/>
                <w:sz w:val="17"/>
              </w:rPr>
              <w:t>Minimum internal controls</w:t>
            </w:r>
          </w:p>
        </w:tc>
        <w:tc>
          <w:tcPr>
            <w:tcW w:type="dxa" w:w="2232"/>
          </w:tcPr>
          <w:p>
            <w:pPr>
              <w:spacing w:after="40" w:before="40"/>
            </w:pPr>
            <w:r/>
            <w:r>
              <w:rPr>
                <w:rFonts w:ascii="Times New Roman" w:hAnsi="Times New Roman"/>
                <w:sz w:val="17"/>
              </w:rPr>
              <w:t>PMCPS-M</w:t>
            </w:r>
          </w:p>
        </w:tc>
        <w:tc>
          <w:tcPr>
            <w:tcW w:type="dxa" w:w="2232"/>
          </w:tcPr>
          <w:p>
            <w:pPr>
              <w:spacing w:after="40" w:before="40"/>
            </w:pPr>
            <w:r/>
            <w:r>
              <w:rPr>
                <w:rFonts w:ascii="Times New Roman" w:hAnsi="Times New Roman"/>
                <w:sz w:val="17"/>
              </w:rPr>
              <w:t>25 C.F.R. pt. 543</w:t>
            </w:r>
          </w:p>
        </w:tc>
        <w:tc>
          <w:tcPr>
            <w:tcW w:type="dxa" w:w="2232"/>
          </w:tcPr>
          <w:p>
            <w:pPr>
              <w:spacing w:after="40" w:before="40"/>
            </w:pPr>
            <w:r/>
            <w:r>
              <w:rPr>
                <w:rFonts w:ascii="Times New Roman" w:hAnsi="Times New Roman"/>
                <w:sz w:val="17"/>
              </w:rPr>
              <w:t>What must the operator do?</w:t>
            </w:r>
          </w:p>
        </w:tc>
      </w:tr>
      <w:tr>
        <w:tc>
          <w:tcPr>
            <w:tcW w:type="dxa" w:w="2232"/>
          </w:tcPr>
          <w:p>
            <w:pPr>
              <w:spacing w:after="40" w:before="40"/>
            </w:pPr>
            <w:r/>
            <w:r>
              <w:rPr>
                <w:rFonts w:ascii="Times New Roman" w:hAnsi="Times New Roman"/>
                <w:sz w:val="17"/>
              </w:rPr>
              <w:t>Technical standards</w:t>
            </w:r>
          </w:p>
        </w:tc>
        <w:tc>
          <w:tcPr>
            <w:tcW w:type="dxa" w:w="2232"/>
          </w:tcPr>
          <w:p>
            <w:pPr>
              <w:spacing w:after="40" w:before="40"/>
            </w:pPr>
            <w:r/>
            <w:r>
              <w:rPr>
                <w:rFonts w:ascii="Times New Roman" w:hAnsi="Times New Roman"/>
                <w:sz w:val="17"/>
              </w:rPr>
              <w:t>PMCPS-T (reserved)</w:t>
            </w:r>
          </w:p>
        </w:tc>
        <w:tc>
          <w:tcPr>
            <w:tcW w:type="dxa" w:w="2232"/>
          </w:tcPr>
          <w:p>
            <w:pPr>
              <w:spacing w:after="40" w:before="40"/>
            </w:pPr>
            <w:r/>
            <w:r>
              <w:rPr>
                <w:rFonts w:ascii="Times New Roman" w:hAnsi="Times New Roman"/>
                <w:sz w:val="17"/>
              </w:rPr>
              <w:t>25 C.F.R. pt. 547</w:t>
            </w:r>
          </w:p>
        </w:tc>
        <w:tc>
          <w:tcPr>
            <w:tcW w:type="dxa" w:w="2232"/>
          </w:tcPr>
          <w:p>
            <w:pPr>
              <w:spacing w:after="40" w:before="40"/>
            </w:pPr>
            <w:r/>
            <w:r>
              <w:rPr>
                <w:rFonts w:ascii="Times New Roman" w:hAnsi="Times New Roman"/>
                <w:sz w:val="17"/>
              </w:rPr>
              <w:t>What must the system do, and how is it tested?</w:t>
            </w:r>
          </w:p>
        </w:tc>
      </w:tr>
    </w:tbl>
    <w:p>
      <w:pPr>
        <w:spacing w:after="80"/>
      </w:pPr>
    </w:p>
    <w:p>
      <w:pPr>
        <w:jc w:val="both"/>
      </w:pPr>
      <w:r>
        <w:rPr>
          <w:rFonts w:ascii="Times New Roman" w:hAnsi="Times New Roman"/>
          <w:sz w:val="22"/>
        </w:rPr>
        <w:t>Classification is published first and separately because it is the layer on which the current dispute turns. The Commission's proposed rule of June 9, 2026 offers a classification test for gaming. Forty-four state attorneys general dispute the Commission's authority to apply it. A federal court has held that a tribe is likely to succeed in showing that the same products are class III gaming. Each of those is a classification question, and each asks which regulator may act.</w:t>
      </w:r>
    </w:p>
    <w:p>
      <w:pPr>
        <w:jc w:val="both"/>
      </w:pPr>
      <w:r>
        <w:rPr>
          <w:rFonts w:ascii="Times New Roman" w:hAnsi="Times New Roman"/>
          <w:sz w:val="22"/>
        </w:rPr>
        <w:t>This standard asks a different question, and asks it on purpose. It does not ask whether a product is gaming, a bet or wager, an event contract, or class III gaming. It asks whether a retail participant is exposed to the harms the PMCPS family addresses. A test built on consumer exposure survives the jurisdictional dispute regardless of outcome, and can be applied today by an operator, an assessor, or a regulator who has not waited for the dispute to resolve.</w:t>
      </w:r>
    </w:p>
    <w:p>
      <w:pPr>
        <w:jc w:val="both"/>
      </w:pPr>
      <w:r>
        <w:rPr>
          <w:rFonts w:ascii="Times New Roman" w:hAnsi="Times New Roman"/>
          <w:sz w:val="22"/>
        </w:rPr>
        <w:t>Section 107 and Appendix B set this test against the four classification tests in force or proposed under applicable law. The divergences are deliberate and are identified.</w:t>
      </w:r>
    </w:p>
    <w:p>
      <w:pPr>
        <w:spacing w:after="40"/>
      </w:pPr>
      <w:r>
        <w:rPr>
          <w:rFonts w:ascii="Calibri" w:hAnsi="Calibri"/>
          <w:b/>
          <w:color w:val="143C46"/>
          <w:sz w:val="18"/>
        </w:rPr>
        <w:t>PART 100</w:t>
      </w:r>
    </w:p>
    <w:p>
      <w:pPr>
        <w:pStyle w:val="Heading1"/>
        <w:spacing w:before="0"/>
        <w:pBdr>
          <w:bottom w:val="single" w:sz="8" w:space="6" w:color="143C46"/>
        </w:pBdr>
      </w:pPr>
      <w:r>
        <w:rPr>
          <w:rFonts w:ascii="Times New Roman" w:hAnsi="Times New Roman"/>
          <w:b/>
          <w:color w:val="000000"/>
          <w:sz w:val="30"/>
        </w:rPr>
        <w:t>Classification Standard</w:t>
      </w:r>
    </w:p>
    <w:p>
      <w:pPr>
        <w:pStyle w:val="Heading2"/>
      </w:pPr>
      <w:r>
        <w:rPr>
          <w:rFonts w:ascii="Times New Roman" w:hAnsi="Times New Roman"/>
          <w:b/>
          <w:color w:val="143C46"/>
          <w:sz w:val="23"/>
        </w:rPr>
        <w:t xml:space="preserve">§ 101.  </w:t>
      </w:r>
      <w:r>
        <w:rPr>
          <w:rFonts w:ascii="Times New Roman" w:hAnsi="Times New Roman"/>
          <w:b/>
          <w:color w:val="000000"/>
          <w:sz w:val="23"/>
        </w:rPr>
        <w:t>Purpose</w:t>
      </w:r>
    </w:p>
    <w:p>
      <w:pPr>
        <w:jc w:val="both"/>
      </w:pPr>
      <w:r>
        <w:rPr>
          <w:rFonts w:ascii="Times New Roman" w:hAnsi="Times New Roman"/>
          <w:sz w:val="22"/>
        </w:rPr>
        <w:t>This standard states the test by which a person determines whether a product is a covered contract, and therefore whether the PMCPS family applies to it.</w:t>
      </w:r>
    </w:p>
    <w:p>
      <w:pPr>
        <w:pStyle w:val="Heading2"/>
      </w:pPr>
      <w:r>
        <w:rPr>
          <w:rFonts w:ascii="Times New Roman" w:hAnsi="Times New Roman"/>
          <w:b/>
          <w:color w:val="143C46"/>
          <w:sz w:val="23"/>
        </w:rPr>
        <w:t xml:space="preserve">§ 102.  </w:t>
      </w:r>
      <w:r>
        <w:rPr>
          <w:rFonts w:ascii="Times New Roman" w:hAnsi="Times New Roman"/>
          <w:b/>
          <w:color w:val="000000"/>
          <w:sz w:val="23"/>
        </w:rPr>
        <w:t>Scope and relationship to the other Standards</w:t>
      </w:r>
    </w:p>
    <w:p>
      <w:pPr>
        <w:ind w:left="432" w:hanging="432"/>
        <w:jc w:val="both"/>
      </w:pPr>
      <w:r>
        <w:rPr>
          <w:rFonts w:ascii="Times New Roman" w:hAnsi="Times New Roman"/>
          <w:b/>
          <w:sz w:val="22"/>
        </w:rPr>
        <w:t xml:space="preserve">(a)  </w:t>
      </w:r>
      <w:r>
        <w:rPr>
          <w:rFonts w:ascii="Times New Roman" w:hAnsi="Times New Roman"/>
          <w:sz w:val="22"/>
        </w:rPr>
        <w:t>This standard determines scope. It imposes no requirement on the design, operation, or conduct of a covered operator. Those requirements are stated in PMCPS-M and, when issued, PMCPS-T.</w:t>
      </w:r>
    </w:p>
    <w:p>
      <w:pPr>
        <w:ind w:left="432" w:hanging="432"/>
        <w:jc w:val="both"/>
      </w:pPr>
      <w:r>
        <w:rPr>
          <w:rFonts w:ascii="Times New Roman" w:hAnsi="Times New Roman"/>
          <w:b/>
          <w:sz w:val="22"/>
        </w:rPr>
        <w:t xml:space="preserve">(b)  </w:t>
      </w:r>
      <w:r>
        <w:rPr>
          <w:rFonts w:ascii="Times New Roman" w:hAnsi="Times New Roman"/>
          <w:sz w:val="22"/>
        </w:rPr>
        <w:t>A reference in PMCPS-M or PMCPS-T to a covered contract or a covered operator is a reference to those terms as determined under this standard.</w:t>
      </w:r>
    </w:p>
    <w:p>
      <w:pPr>
        <w:ind w:left="432" w:hanging="432"/>
        <w:jc w:val="both"/>
      </w:pPr>
      <w:r>
        <w:rPr>
          <w:rFonts w:ascii="Times New Roman" w:hAnsi="Times New Roman"/>
          <w:b/>
          <w:sz w:val="22"/>
        </w:rPr>
        <w:t xml:space="preserve">(c)  </w:t>
      </w:r>
      <w:r>
        <w:rPr>
          <w:rFonts w:ascii="Times New Roman" w:hAnsi="Times New Roman"/>
          <w:sz w:val="22"/>
        </w:rPr>
        <w:t>This standard does not determine whether a product is lawful, whether it constitutes gaming, a bet or wager, an event contract, or class III gaming under any applicable law, or which authority regulates it. A determination under this standard is not evidence on any of those questions.</w:t>
      </w:r>
    </w:p>
    <w:p>
      <w:pPr>
        <w:ind w:left="432" w:hanging="432"/>
        <w:jc w:val="both"/>
      </w:pPr>
      <w:r>
        <w:rPr>
          <w:rFonts w:ascii="Times New Roman" w:hAnsi="Times New Roman"/>
          <w:b/>
          <w:sz w:val="22"/>
        </w:rPr>
        <w:t xml:space="preserve">(d)  </w:t>
      </w:r>
      <w:r>
        <w:rPr>
          <w:rFonts w:ascii="Times New Roman" w:hAnsi="Times New Roman"/>
          <w:sz w:val="22"/>
        </w:rPr>
        <w:t>A determination that a product is not a covered contract is not a determination that the product is unregulated, safe, or exempt from any obligation imposed by applicable law.</w:t>
      </w:r>
    </w:p>
    <w:p>
      <w:pPr>
        <w:pStyle w:val="Heading2"/>
      </w:pPr>
      <w:r>
        <w:rPr>
          <w:rFonts w:ascii="Times New Roman" w:hAnsi="Times New Roman"/>
          <w:b/>
          <w:color w:val="143C46"/>
          <w:sz w:val="23"/>
        </w:rPr>
        <w:t xml:space="preserve">§ 103.  </w:t>
      </w:r>
      <w:r>
        <w:rPr>
          <w:rFonts w:ascii="Times New Roman" w:hAnsi="Times New Roman"/>
          <w:b/>
          <w:color w:val="000000"/>
          <w:sz w:val="23"/>
        </w:rPr>
        <w:t>Definitions</w:t>
      </w:r>
    </w:p>
    <w:p>
      <w:pPr>
        <w:jc w:val="both"/>
      </w:pPr>
      <w:r>
        <w:rPr>
          <w:rFonts w:ascii="Times New Roman" w:hAnsi="Times New Roman"/>
          <w:sz w:val="22"/>
        </w:rPr>
        <w:t>As used in the PMCPS family:</w:t>
      </w:r>
    </w:p>
    <w:p>
      <w:pPr>
        <w:jc w:val="both"/>
      </w:pPr>
      <w:r>
        <w:rPr>
          <w:rFonts w:ascii="Times New Roman" w:hAnsi="Times New Roman"/>
          <w:b/>
          <w:sz w:val="22"/>
        </w:rPr>
        <w:t>Affiliate</w:t>
      </w:r>
      <w:r>
        <w:rPr>
          <w:rFonts w:ascii="Times New Roman" w:hAnsi="Times New Roman"/>
          <w:sz w:val="22"/>
        </w:rPr>
        <w:t xml:space="preserve"> means a person that controls, is controlled by, or is under common control with a covered operator.</w:t>
      </w:r>
    </w:p>
    <w:p>
      <w:pPr>
        <w:jc w:val="both"/>
      </w:pPr>
      <w:r>
        <w:rPr>
          <w:rFonts w:ascii="Times New Roman" w:hAnsi="Times New Roman"/>
          <w:b/>
          <w:sz w:val="22"/>
        </w:rPr>
        <w:t>Covered contract</w:t>
      </w:r>
      <w:r>
        <w:rPr>
          <w:rFonts w:ascii="Times New Roman" w:hAnsi="Times New Roman"/>
          <w:sz w:val="22"/>
        </w:rPr>
        <w:t xml:space="preserve"> means a product that satisfies the test in § 104.</w:t>
      </w:r>
    </w:p>
    <w:p>
      <w:pPr>
        <w:jc w:val="both"/>
      </w:pPr>
      <w:r>
        <w:rPr>
          <w:rFonts w:ascii="Times New Roman" w:hAnsi="Times New Roman"/>
          <w:b/>
          <w:sz w:val="22"/>
        </w:rPr>
        <w:t>Covered operator</w:t>
      </w:r>
      <w:r>
        <w:rPr>
          <w:rFonts w:ascii="Times New Roman" w:hAnsi="Times New Roman"/>
          <w:sz w:val="22"/>
        </w:rPr>
        <w:t xml:space="preserve"> means a person that offers, lists, executes, clears, or settles a covered contract for a participant, or that solicits or accepts a participant's order for a covered contract. The term includes an intermediary that provides participant-facing access to a covered contract offered by another person.</w:t>
      </w:r>
    </w:p>
    <w:p>
      <w:pPr>
        <w:jc w:val="both"/>
      </w:pPr>
      <w:r>
        <w:rPr>
          <w:rFonts w:ascii="Times New Roman" w:hAnsi="Times New Roman"/>
          <w:b/>
          <w:sz w:val="22"/>
        </w:rPr>
        <w:t>Fixed-odds wager</w:t>
      </w:r>
      <w:r>
        <w:rPr>
          <w:rFonts w:ascii="Times New Roman" w:hAnsi="Times New Roman"/>
          <w:sz w:val="22"/>
        </w:rPr>
        <w:t xml:space="preserve"> means a product under which the amount payable to the participant is determined at the time the participant commits value, by reference to odds or a price set by the operator, and does not vary thereafter with the views of other participants.</w:t>
      </w:r>
    </w:p>
    <w:p>
      <w:pPr>
        <w:jc w:val="both"/>
      </w:pPr>
      <w:r>
        <w:rPr>
          <w:rFonts w:ascii="Times New Roman" w:hAnsi="Times New Roman"/>
          <w:b/>
          <w:sz w:val="22"/>
        </w:rPr>
        <w:t>Hedging nexus</w:t>
      </w:r>
      <w:r>
        <w:rPr>
          <w:rFonts w:ascii="Times New Roman" w:hAnsi="Times New Roman"/>
          <w:sz w:val="22"/>
        </w:rPr>
        <w:t xml:space="preserve"> means the relationship described in § 104(f) between a participant's holding of an underlying exposure and a product that offsets it.</w:t>
      </w:r>
    </w:p>
    <w:p>
      <w:pPr>
        <w:jc w:val="both"/>
      </w:pPr>
      <w:r>
        <w:rPr>
          <w:rFonts w:ascii="Times New Roman" w:hAnsi="Times New Roman"/>
          <w:b/>
          <w:sz w:val="22"/>
        </w:rPr>
        <w:t>Market-determined value</w:t>
      </w:r>
      <w:r>
        <w:rPr>
          <w:rFonts w:ascii="Times New Roman" w:hAnsi="Times New Roman"/>
          <w:sz w:val="22"/>
        </w:rPr>
        <w:t xml:space="preserve"> means a value established by trading between participants. A price quoted by an operator on its own account, or set by an operator by reference to its own risk position, is not a market-determined value.</w:t>
      </w:r>
    </w:p>
    <w:p>
      <w:pPr>
        <w:jc w:val="both"/>
      </w:pPr>
      <w:r>
        <w:rPr>
          <w:rFonts w:ascii="Times New Roman" w:hAnsi="Times New Roman"/>
          <w:b/>
          <w:sz w:val="22"/>
        </w:rPr>
        <w:t>Participant</w:t>
      </w:r>
      <w:r>
        <w:rPr>
          <w:rFonts w:ascii="Times New Roman" w:hAnsi="Times New Roman"/>
          <w:sz w:val="22"/>
        </w:rPr>
        <w:t xml:space="preserve"> means an individual who holds or applies for an account with a covered operator. The term does not include an entity trading through a registered intermediary for commercial risk management purposes.</w:t>
      </w:r>
    </w:p>
    <w:p>
      <w:pPr>
        <w:jc w:val="both"/>
      </w:pPr>
      <w:r>
        <w:rPr>
          <w:rFonts w:ascii="Times New Roman" w:hAnsi="Times New Roman"/>
          <w:b/>
          <w:sz w:val="22"/>
        </w:rPr>
        <w:t>Position</w:t>
      </w:r>
      <w:r>
        <w:rPr>
          <w:rFonts w:ascii="Times New Roman" w:hAnsi="Times New Roman"/>
          <w:sz w:val="22"/>
        </w:rPr>
        <w:t xml:space="preserve"> means a participant's open interest in a covered contract, whether long or short, that has not settled or been closed.</w:t>
      </w:r>
    </w:p>
    <w:p>
      <w:pPr>
        <w:jc w:val="both"/>
      </w:pPr>
      <w:r>
        <w:rPr>
          <w:rFonts w:ascii="Times New Roman" w:hAnsi="Times New Roman"/>
          <w:b/>
          <w:sz w:val="22"/>
        </w:rPr>
        <w:t>Product</w:t>
      </w:r>
      <w:r>
        <w:rPr>
          <w:rFonts w:ascii="Times New Roman" w:hAnsi="Times New Roman"/>
          <w:sz w:val="22"/>
        </w:rPr>
        <w:t xml:space="preserve"> means an agreement, contract, transaction, swap, wager, or other arrangement offered to a participant, however denominated by the person offering it.</w:t>
      </w:r>
    </w:p>
    <w:p>
      <w:pPr>
        <w:jc w:val="both"/>
      </w:pPr>
      <w:r>
        <w:rPr>
          <w:rFonts w:ascii="Times New Roman" w:hAnsi="Times New Roman"/>
          <w:b/>
          <w:sz w:val="22"/>
        </w:rPr>
        <w:t>Resolution source</w:t>
      </w:r>
      <w:r>
        <w:rPr>
          <w:rFonts w:ascii="Times New Roman" w:hAnsi="Times New Roman"/>
          <w:sz w:val="22"/>
        </w:rPr>
        <w:t xml:space="preserve"> means the data source, publication, official determination, or other authority by reference to which a product settles.</w:t>
      </w:r>
    </w:p>
    <w:p>
      <w:pPr>
        <w:jc w:val="both"/>
      </w:pPr>
      <w:r>
        <w:rPr>
          <w:rFonts w:ascii="Times New Roman" w:hAnsi="Times New Roman"/>
          <w:b/>
          <w:sz w:val="22"/>
        </w:rPr>
        <w:t>Settlement</w:t>
      </w:r>
      <w:r>
        <w:rPr>
          <w:rFonts w:ascii="Times New Roman" w:hAnsi="Times New Roman"/>
          <w:sz w:val="22"/>
        </w:rPr>
        <w:t xml:space="preserve"> means the final determination of a product's outcome and the corresponding crediting or debiting of participant accounts.</w:t>
      </w:r>
    </w:p>
    <w:p>
      <w:pPr>
        <w:pStyle w:val="Heading2"/>
      </w:pPr>
      <w:r>
        <w:rPr>
          <w:rFonts w:ascii="Times New Roman" w:hAnsi="Times New Roman"/>
          <w:b/>
          <w:color w:val="143C46"/>
          <w:sz w:val="23"/>
        </w:rPr>
        <w:t xml:space="preserve">§ 104.  </w:t>
      </w:r>
      <w:r>
        <w:rPr>
          <w:rFonts w:ascii="Times New Roman" w:hAnsi="Times New Roman"/>
          <w:b/>
          <w:color w:val="000000"/>
          <w:sz w:val="23"/>
        </w:rPr>
        <w:t>Applicability test</w:t>
      </w:r>
    </w:p>
    <w:p>
      <w:pPr>
        <w:ind w:left="432" w:hanging="432"/>
        <w:jc w:val="both"/>
      </w:pPr>
      <w:r>
        <w:rPr>
          <w:rFonts w:ascii="Times New Roman" w:hAnsi="Times New Roman"/>
          <w:b/>
          <w:sz w:val="22"/>
        </w:rPr>
        <w:t xml:space="preserve">(a)  </w:t>
      </w:r>
      <w:r>
        <w:rPr>
          <w:rFonts w:ascii="Times New Roman" w:hAnsi="Times New Roman"/>
          <w:b/>
          <w:sz w:val="22"/>
        </w:rPr>
        <w:t>Purpose.</w:t>
      </w:r>
      <w:r>
        <w:rPr>
          <w:rFonts w:ascii="Times New Roman" w:hAnsi="Times New Roman"/>
          <w:sz w:val="22"/>
        </w:rPr>
        <w:t xml:space="preserve"> This section states the test by which a person determines whether a product is a covered contract. The test is functional. It does not depend on how the operator characterizes the product, on the operator's regulatory status, or on whether the product constitutes gaming, a bet or wager, or an event contract under any applicable law.</w:t>
      </w:r>
    </w:p>
    <w:p>
      <w:pPr>
        <w:ind w:left="432" w:hanging="432"/>
        <w:jc w:val="both"/>
      </w:pPr>
      <w:r>
        <w:rPr>
          <w:rFonts w:ascii="Times New Roman" w:hAnsi="Times New Roman"/>
          <w:b/>
          <w:sz w:val="22"/>
        </w:rPr>
        <w:t xml:space="preserve">(b)  </w:t>
      </w:r>
      <w:r>
        <w:rPr>
          <w:rFonts w:ascii="Times New Roman" w:hAnsi="Times New Roman"/>
          <w:b/>
          <w:sz w:val="22"/>
        </w:rPr>
        <w:t>Sequence.</w:t>
      </w:r>
      <w:r>
        <w:rPr>
          <w:rFonts w:ascii="Times New Roman" w:hAnsi="Times New Roman"/>
          <w:sz w:val="22"/>
        </w:rPr>
        <w:t xml:space="preserve"> A product is a covered contract only if Gates 1 through 4 are each satisfied and no exclusion in Gate 5 applies. The gates are applied in order. A product that fails a gate is not a covered contract, and the remaining gates need not be applied.</w:t>
      </w:r>
    </w:p>
    <w:p>
      <w:pPr>
        <w:ind w:left="432" w:hanging="432"/>
        <w:jc w:val="both"/>
      </w:pPr>
      <w:r>
        <w:rPr>
          <w:rFonts w:ascii="Times New Roman" w:hAnsi="Times New Roman"/>
          <w:b/>
          <w:sz w:val="22"/>
        </w:rPr>
        <w:t xml:space="preserve">(c)  </w:t>
      </w:r>
      <w:r>
        <w:rPr>
          <w:rFonts w:ascii="Times New Roman" w:hAnsi="Times New Roman"/>
          <w:b/>
          <w:sz w:val="22"/>
        </w:rPr>
        <w:t>Gate 1: stake and contingent return.</w:t>
      </w:r>
      <w:r>
        <w:rPr>
          <w:rFonts w:ascii="Times New Roman" w:hAnsi="Times New Roman"/>
          <w:sz w:val="22"/>
        </w:rPr>
        <w:t xml:space="preserve"> At the point of entry the participant irreversibly commits money or another thing of value, and the amount the participant receives depends on an outcome not determined at that time.</w:t>
      </w:r>
    </w:p>
    <w:p>
      <w:pPr>
        <w:ind w:left="432" w:hanging="432"/>
        <w:jc w:val="both"/>
      </w:pPr>
      <w:r>
        <w:rPr>
          <w:rFonts w:ascii="Times New Roman" w:hAnsi="Times New Roman"/>
          <w:b/>
          <w:sz w:val="22"/>
        </w:rPr>
        <w:t xml:space="preserve">(d)  </w:t>
      </w:r>
      <w:r>
        <w:rPr>
          <w:rFonts w:ascii="Times New Roman" w:hAnsi="Times New Roman"/>
          <w:b/>
          <w:sz w:val="22"/>
        </w:rPr>
        <w:t>Gate 2: discrete outcome, resolved exogenously.</w:t>
      </w:r>
      <w:r>
        <w:rPr>
          <w:rFonts w:ascii="Times New Roman" w:hAnsi="Times New Roman"/>
          <w:sz w:val="22"/>
        </w:rPr>
        <w:t xml:space="preserve"> The amount payable is determined by whether a specified event occurs, or by the extent of a specified occurrence, resolved against criteria fixed in advance by reference to a source outside the operator's platform.</w:t>
      </w:r>
    </w:p>
    <w:p>
      <w:pPr>
        <w:ind w:left="864" w:hanging="432"/>
        <w:jc w:val="both"/>
      </w:pPr>
      <w:r>
        <w:rPr>
          <w:rFonts w:ascii="Times New Roman" w:hAnsi="Times New Roman"/>
          <w:b/>
          <w:sz w:val="22"/>
        </w:rPr>
        <w:t xml:space="preserve">(1)  </w:t>
      </w:r>
      <w:r>
        <w:rPr>
          <w:rFonts w:ascii="Times New Roman" w:hAnsi="Times New Roman"/>
          <w:sz w:val="22"/>
        </w:rPr>
        <w:t>A product whose payout is determined by the price, rate, value, or level of a commodity, security, or index, as such, does not satisfy this Gate.</w:t>
      </w:r>
    </w:p>
    <w:p>
      <w:pPr>
        <w:ind w:left="864" w:hanging="432"/>
        <w:jc w:val="both"/>
      </w:pPr>
      <w:r>
        <w:rPr>
          <w:rFonts w:ascii="Times New Roman" w:hAnsi="Times New Roman"/>
          <w:b/>
          <w:sz w:val="22"/>
        </w:rPr>
        <w:t xml:space="preserve">(2)  </w:t>
      </w:r>
      <w:r>
        <w:rPr>
          <w:rFonts w:ascii="Times New Roman" w:hAnsi="Times New Roman"/>
          <w:sz w:val="22"/>
        </w:rPr>
        <w:t>A product whose outcome is generated by the operator, including by a random number generator or by the operator's own game, does not satisfy this Gate.</w:t>
      </w:r>
    </w:p>
    <w:p>
      <w:pPr>
        <w:ind w:left="432" w:hanging="432"/>
        <w:jc w:val="both"/>
      </w:pPr>
      <w:r>
        <w:rPr>
          <w:rFonts w:ascii="Times New Roman" w:hAnsi="Times New Roman"/>
          <w:b/>
          <w:sz w:val="22"/>
        </w:rPr>
        <w:t xml:space="preserve">(e)  </w:t>
      </w:r>
      <w:r>
        <w:rPr>
          <w:rFonts w:ascii="Times New Roman" w:hAnsi="Times New Roman"/>
          <w:b/>
          <w:sz w:val="22"/>
        </w:rPr>
        <w:t>Gate 3: transferable position at a market-determined value.</w:t>
      </w:r>
      <w:r>
        <w:rPr>
          <w:rFonts w:ascii="Times New Roman" w:hAnsi="Times New Roman"/>
          <w:sz w:val="22"/>
        </w:rPr>
        <w:t xml:space="preserve"> Before the outcome is determined, the participant's position has a value established by trading between participants, and the participant may close, reduce, or transfer the position at that value.</w:t>
      </w:r>
    </w:p>
    <w:p>
      <w:pPr>
        <w:ind w:left="864" w:hanging="432"/>
        <w:jc w:val="both"/>
      </w:pPr>
      <w:r>
        <w:rPr>
          <w:rFonts w:ascii="Times New Roman" w:hAnsi="Times New Roman"/>
          <w:b/>
          <w:sz w:val="22"/>
        </w:rPr>
        <w:t xml:space="preserve">(1)  </w:t>
      </w:r>
      <w:r>
        <w:rPr>
          <w:rFonts w:ascii="Times New Roman" w:hAnsi="Times New Roman"/>
          <w:sz w:val="22"/>
        </w:rPr>
        <w:t>A price quoted unilaterally by the operator for repurchase of a fixed-odds wager, including an offer commonly described as a cash-out, is not a value established by trading between participants.</w:t>
      </w:r>
    </w:p>
    <w:p>
      <w:pPr>
        <w:ind w:left="864" w:hanging="432"/>
        <w:jc w:val="both"/>
      </w:pPr>
      <w:r>
        <w:rPr>
          <w:rFonts w:ascii="Times New Roman" w:hAnsi="Times New Roman"/>
          <w:b/>
          <w:sz w:val="22"/>
        </w:rPr>
        <w:t xml:space="preserve">(2)  </w:t>
      </w:r>
      <w:r>
        <w:rPr>
          <w:rFonts w:ascii="Times New Roman" w:hAnsi="Times New Roman"/>
          <w:sz w:val="22"/>
        </w:rPr>
        <w:t>Odds or payouts that vary before the outcome is determined but that afford the participant no means of exit, as in a pari-mutuel pool, do not satisfy this Gate.</w:t>
      </w:r>
    </w:p>
    <w:p>
      <w:pPr>
        <w:ind w:left="432" w:hanging="432"/>
        <w:jc w:val="both"/>
      </w:pPr>
      <w:r>
        <w:rPr>
          <w:rFonts w:ascii="Times New Roman" w:hAnsi="Times New Roman"/>
          <w:b/>
          <w:sz w:val="22"/>
        </w:rPr>
        <w:t xml:space="preserve">(f)  </w:t>
      </w:r>
      <w:r>
        <w:rPr>
          <w:rFonts w:ascii="Times New Roman" w:hAnsi="Times New Roman"/>
          <w:b/>
          <w:sz w:val="22"/>
        </w:rPr>
        <w:t>Gate 4: absence of a hedging nexus.</w:t>
      </w:r>
      <w:r>
        <w:rPr>
          <w:rFonts w:ascii="Times New Roman" w:hAnsi="Times New Roman"/>
          <w:sz w:val="22"/>
        </w:rPr>
        <w:t xml:space="preserve"> The participant does not hold an underlying exposure that the product offsets.</w:t>
      </w:r>
    </w:p>
    <w:p>
      <w:pPr>
        <w:ind w:left="864" w:hanging="432"/>
        <w:jc w:val="both"/>
      </w:pPr>
      <w:r>
        <w:rPr>
          <w:rFonts w:ascii="Times New Roman" w:hAnsi="Times New Roman"/>
          <w:b/>
          <w:sz w:val="22"/>
        </w:rPr>
        <w:t xml:space="preserve">(1)  </w:t>
      </w:r>
      <w:r>
        <w:rPr>
          <w:rFonts w:ascii="Times New Roman" w:hAnsi="Times New Roman"/>
          <w:sz w:val="22"/>
        </w:rPr>
        <w:t>This Gate is applied to each participant separately. A product may be a covered contract as to one participant and not as to another.</w:t>
      </w:r>
    </w:p>
    <w:p>
      <w:pPr>
        <w:ind w:left="864" w:hanging="432"/>
        <w:jc w:val="both"/>
      </w:pPr>
      <w:r>
        <w:rPr>
          <w:rFonts w:ascii="Times New Roman" w:hAnsi="Times New Roman"/>
          <w:b/>
          <w:sz w:val="22"/>
        </w:rPr>
        <w:t xml:space="preserve">(2)  </w:t>
      </w:r>
      <w:r>
        <w:rPr>
          <w:rFonts w:ascii="Times New Roman" w:hAnsi="Times New Roman"/>
          <w:sz w:val="22"/>
        </w:rPr>
        <w:t>A participant is presumed not to hold an underlying exposure. An operator may treat a participant as holding one only where the participant has identified the exposure and the operator has documented it. The operator shall retain that documentation under PMCPS-M § 601.</w:t>
      </w:r>
    </w:p>
    <w:p>
      <w:pPr>
        <w:ind w:left="432" w:hanging="432"/>
        <w:jc w:val="both"/>
      </w:pPr>
      <w:r>
        <w:rPr>
          <w:rFonts w:ascii="Times New Roman" w:hAnsi="Times New Roman"/>
          <w:b/>
          <w:sz w:val="22"/>
        </w:rPr>
        <w:t xml:space="preserve">(g)  </w:t>
      </w:r>
      <w:r>
        <w:rPr>
          <w:rFonts w:ascii="Times New Roman" w:hAnsi="Times New Roman"/>
          <w:b/>
          <w:sz w:val="22"/>
        </w:rPr>
        <w:t>Gate 5: exclusions.</w:t>
      </w:r>
      <w:r>
        <w:rPr>
          <w:rFonts w:ascii="Times New Roman" w:hAnsi="Times New Roman"/>
          <w:sz w:val="22"/>
        </w:rPr>
        <w:t xml:space="preserve"> A product that satisfies Gates 1 through 4 is nonetheless not a covered contract where it is:</w:t>
      </w:r>
    </w:p>
    <w:p>
      <w:pPr>
        <w:ind w:left="864" w:hanging="432"/>
        <w:jc w:val="both"/>
      </w:pPr>
      <w:r>
        <w:rPr>
          <w:rFonts w:ascii="Times New Roman" w:hAnsi="Times New Roman"/>
          <w:b/>
          <w:sz w:val="22"/>
        </w:rPr>
        <w:t xml:space="preserve">(1)  </w:t>
      </w:r>
      <w:r>
        <w:rPr>
          <w:rFonts w:ascii="Times New Roman" w:hAnsi="Times New Roman"/>
          <w:sz w:val="22"/>
        </w:rPr>
        <w:t>offered under a licence issued by a gaming regulatory authority that imposes requirements at least equivalent to Parts 300 through 500 of these Standards and supervises compliance with them, provided the operator documents the equivalence;</w:t>
      </w:r>
    </w:p>
    <w:p>
      <w:pPr>
        <w:ind w:left="864" w:hanging="432"/>
        <w:jc w:val="both"/>
      </w:pPr>
      <w:r>
        <w:rPr>
          <w:rFonts w:ascii="Times New Roman" w:hAnsi="Times New Roman"/>
          <w:b/>
          <w:sz w:val="22"/>
        </w:rPr>
        <w:t xml:space="preserve">(2)  </w:t>
      </w:r>
      <w:r>
        <w:rPr>
          <w:rFonts w:ascii="Times New Roman" w:hAnsi="Times New Roman"/>
          <w:sz w:val="22"/>
        </w:rPr>
        <w:t>a contract of insurance or indemnity;</w:t>
      </w:r>
    </w:p>
    <w:p>
      <w:pPr>
        <w:ind w:left="864" w:hanging="432"/>
        <w:jc w:val="both"/>
      </w:pPr>
      <w:r>
        <w:rPr>
          <w:rFonts w:ascii="Times New Roman" w:hAnsi="Times New Roman"/>
          <w:b/>
          <w:sz w:val="22"/>
        </w:rPr>
        <w:t xml:space="preserve">(3)  </w:t>
      </w:r>
      <w:r>
        <w:rPr>
          <w:rFonts w:ascii="Times New Roman" w:hAnsi="Times New Roman"/>
          <w:sz w:val="22"/>
        </w:rPr>
        <w:t>a security regulated as such; or</w:t>
      </w:r>
    </w:p>
    <w:p>
      <w:pPr>
        <w:ind w:left="864" w:hanging="432"/>
        <w:jc w:val="both"/>
      </w:pPr>
      <w:r>
        <w:rPr>
          <w:rFonts w:ascii="Times New Roman" w:hAnsi="Times New Roman"/>
          <w:b/>
          <w:sz w:val="22"/>
        </w:rPr>
        <w:t xml:space="preserve">(4)  </w:t>
      </w:r>
      <w:r>
        <w:rPr>
          <w:rFonts w:ascii="Times New Roman" w:hAnsi="Times New Roman"/>
          <w:sz w:val="22"/>
        </w:rPr>
        <w:t>a deposit or other transaction with an insured depository institution.</w:t>
      </w:r>
    </w:p>
    <w:p>
      <w:pPr>
        <w:ind w:left="432" w:hanging="432"/>
        <w:jc w:val="both"/>
      </w:pPr>
      <w:r>
        <w:rPr>
          <w:rFonts w:ascii="Times New Roman" w:hAnsi="Times New Roman"/>
          <w:b/>
          <w:sz w:val="22"/>
        </w:rPr>
        <w:t xml:space="preserve">(h)  </w:t>
      </w:r>
      <w:r>
        <w:rPr>
          <w:rFonts w:ascii="Times New Roman" w:hAnsi="Times New Roman"/>
          <w:b/>
          <w:sz w:val="22"/>
        </w:rPr>
        <w:t>Boundary cases.</w:t>
      </w:r>
      <w:r>
        <w:rPr>
          <w:rFonts w:ascii="Times New Roman" w:hAnsi="Times New Roman"/>
          <w:sz w:val="22"/>
        </w:rPr>
        <w:t xml:space="preserve"> Appendix C applies this test to specified products.</w:t>
      </w:r>
    </w:p>
    <w:p>
      <w:pPr>
        <w:spacing w:before="200" w:after="200"/>
        <w:ind w:left="360" w:right="288"/>
        <w:pBdr>
          <w:top w:val="single" w:sz="4" w:space="8" w:color="B9C6CA"/>
          <w:bottom w:val="single" w:sz="4" w:space="8" w:color="B9C6CA"/>
          <w:left w:val="single" w:sz="4" w:space="8" w:color="B9C6CA"/>
          <w:right w:val="single" w:sz="4" w:space="8" w:color="B9C6CA"/>
        </w:pBdr>
        <w:shd w:val="clear" w:color="auto" w:fill="F2F6F7"/>
      </w:pPr>
      <w:r>
        <w:rPr>
          <w:rFonts w:ascii="Calibri" w:hAnsi="Calibri"/>
          <w:b/>
          <w:color w:val="143C46"/>
          <w:sz w:val="16"/>
        </w:rPr>
        <w:t>DRAFTING NOTE</w:t>
        <w:br/>
      </w:r>
      <w:r>
        <w:rPr>
          <w:rFonts w:ascii="Times New Roman" w:hAnsi="Times New Roman"/>
          <w:sz w:val="20"/>
        </w:rPr>
        <w:t>Gates 3 and 5 are what keep a traditional regulated sports wager outside these Standards, and they do so independently. A fixed-odds wager with a licensed sportsbook fails Gate 3 because the bettor's payout is fixed at placement and the position cannot be sold to another participant; a cash-out offer is a price the house sets, not a price the market makes. It fails Gate 5 separately because a licensed sportsbook already operates under a gaming framework that imposes exclusion, limits, and problem gambling requirements. Applying these Standards to it would duplicate supervision that already exists and would weaken the case for applying them where no supervision exists at all. That is the point of the test: it identifies products carrying gambling-like consumer exposure that no gaming regulator is currently supervising, without asserting that those products are or are not gambling. Gate 3 is also the reason PMCPS-M § 301(d) is drafted as it is, since a position that can be closed is a position an excluded participant must be able to close.</w:t>
      </w:r>
    </w:p>
    <w:p>
      <w:pPr>
        <w:pStyle w:val="Heading2"/>
      </w:pPr>
      <w:r>
        <w:rPr>
          <w:rFonts w:ascii="Times New Roman" w:hAnsi="Times New Roman"/>
          <w:b/>
          <w:color w:val="143C46"/>
          <w:sz w:val="23"/>
        </w:rPr>
        <w:t xml:space="preserve">§ 105.  </w:t>
      </w:r>
      <w:r>
        <w:rPr>
          <w:rFonts w:ascii="Times New Roman" w:hAnsi="Times New Roman"/>
          <w:b/>
          <w:color w:val="000000"/>
          <w:sz w:val="23"/>
        </w:rPr>
        <w:t>Classification determination and record</w:t>
      </w:r>
    </w:p>
    <w:p>
      <w:pPr>
        <w:ind w:left="432" w:hanging="432"/>
        <w:jc w:val="both"/>
      </w:pPr>
      <w:r>
        <w:rPr>
          <w:rFonts w:ascii="Times New Roman" w:hAnsi="Times New Roman"/>
          <w:b/>
          <w:sz w:val="22"/>
        </w:rPr>
        <w:t xml:space="preserve">(a)  </w:t>
      </w:r>
      <w:r>
        <w:rPr>
          <w:rFonts w:ascii="Times New Roman" w:hAnsi="Times New Roman"/>
          <w:sz w:val="22"/>
        </w:rPr>
        <w:t>A covered operator shall make a written classification determination under § 104 for each product before it is offered to a participant.</w:t>
      </w:r>
    </w:p>
    <w:p>
      <w:pPr>
        <w:ind w:left="432" w:hanging="432"/>
        <w:jc w:val="both"/>
      </w:pPr>
      <w:r>
        <w:rPr>
          <w:rFonts w:ascii="Times New Roman" w:hAnsi="Times New Roman"/>
          <w:b/>
          <w:sz w:val="22"/>
        </w:rPr>
        <w:t xml:space="preserve">(b)  </w:t>
      </w:r>
      <w:r>
        <w:rPr>
          <w:rFonts w:ascii="Times New Roman" w:hAnsi="Times New Roman"/>
          <w:sz w:val="22"/>
        </w:rPr>
        <w:t>The determination shall record:</w:t>
      </w:r>
    </w:p>
    <w:p>
      <w:pPr>
        <w:ind w:left="864" w:hanging="432"/>
        <w:jc w:val="both"/>
      </w:pPr>
      <w:r>
        <w:rPr>
          <w:rFonts w:ascii="Times New Roman" w:hAnsi="Times New Roman"/>
          <w:b/>
          <w:sz w:val="22"/>
        </w:rPr>
        <w:t xml:space="preserve">(1)  </w:t>
      </w:r>
      <w:r>
        <w:rPr>
          <w:rFonts w:ascii="Times New Roman" w:hAnsi="Times New Roman"/>
          <w:sz w:val="22"/>
        </w:rPr>
        <w:t>the product and its settlement terms;</w:t>
      </w:r>
    </w:p>
    <w:p>
      <w:pPr>
        <w:ind w:left="864" w:hanging="432"/>
        <w:jc w:val="both"/>
      </w:pPr>
      <w:r>
        <w:rPr>
          <w:rFonts w:ascii="Times New Roman" w:hAnsi="Times New Roman"/>
          <w:b/>
          <w:sz w:val="22"/>
        </w:rPr>
        <w:t xml:space="preserve">(2)  </w:t>
      </w:r>
      <w:r>
        <w:rPr>
          <w:rFonts w:ascii="Times New Roman" w:hAnsi="Times New Roman"/>
          <w:sz w:val="22"/>
        </w:rPr>
        <w:t>the conclusion reached at each gate, with the reasoning;</w:t>
      </w:r>
    </w:p>
    <w:p>
      <w:pPr>
        <w:ind w:left="864" w:hanging="432"/>
        <w:jc w:val="both"/>
      </w:pPr>
      <w:r>
        <w:rPr>
          <w:rFonts w:ascii="Times New Roman" w:hAnsi="Times New Roman"/>
          <w:b/>
          <w:sz w:val="22"/>
        </w:rPr>
        <w:t xml:space="preserve">(3)  </w:t>
      </w:r>
      <w:r>
        <w:rPr>
          <w:rFonts w:ascii="Times New Roman" w:hAnsi="Times New Roman"/>
          <w:sz w:val="22"/>
        </w:rPr>
        <w:t>the resolution source relied on for the purposes of Gate 2;</w:t>
      </w:r>
    </w:p>
    <w:p>
      <w:pPr>
        <w:ind w:left="864" w:hanging="432"/>
        <w:jc w:val="both"/>
      </w:pPr>
      <w:r>
        <w:rPr>
          <w:rFonts w:ascii="Times New Roman" w:hAnsi="Times New Roman"/>
          <w:b/>
          <w:sz w:val="22"/>
        </w:rPr>
        <w:t xml:space="preserve">(4)  </w:t>
      </w:r>
      <w:r>
        <w:rPr>
          <w:rFonts w:ascii="Times New Roman" w:hAnsi="Times New Roman"/>
          <w:sz w:val="22"/>
        </w:rPr>
        <w:t>where the product is found not to be a covered contract, the gate that was not satisfied or the exclusion relied on; and</w:t>
      </w:r>
    </w:p>
    <w:p>
      <w:pPr>
        <w:ind w:left="864" w:hanging="432"/>
        <w:jc w:val="both"/>
      </w:pPr>
      <w:r>
        <w:rPr>
          <w:rFonts w:ascii="Times New Roman" w:hAnsi="Times New Roman"/>
          <w:b/>
          <w:sz w:val="22"/>
        </w:rPr>
        <w:t xml:space="preserve">(5)  </w:t>
      </w:r>
      <w:r>
        <w:rPr>
          <w:rFonts w:ascii="Times New Roman" w:hAnsi="Times New Roman"/>
          <w:sz w:val="22"/>
        </w:rPr>
        <w:t>where an exclusion under § 104(g)(1) is relied on, the licence relied on and the documented basis for the finding of equivalence.</w:t>
      </w:r>
    </w:p>
    <w:p>
      <w:pPr>
        <w:ind w:left="432" w:hanging="432"/>
        <w:jc w:val="both"/>
      </w:pPr>
      <w:r>
        <w:rPr>
          <w:rFonts w:ascii="Times New Roman" w:hAnsi="Times New Roman"/>
          <w:b/>
          <w:sz w:val="22"/>
        </w:rPr>
        <w:t xml:space="preserve">(c)  </w:t>
      </w:r>
      <w:r>
        <w:rPr>
          <w:rFonts w:ascii="Times New Roman" w:hAnsi="Times New Roman"/>
          <w:sz w:val="22"/>
        </w:rPr>
        <w:t>A determination shall be signed by the individual designated under PMCPS-M § 204(a).</w:t>
      </w:r>
    </w:p>
    <w:p>
      <w:pPr>
        <w:ind w:left="432" w:hanging="432"/>
        <w:jc w:val="both"/>
      </w:pPr>
      <w:r>
        <w:rPr>
          <w:rFonts w:ascii="Times New Roman" w:hAnsi="Times New Roman"/>
          <w:b/>
          <w:sz w:val="22"/>
        </w:rPr>
        <w:t xml:space="preserve">(d)  </w:t>
      </w:r>
      <w:r>
        <w:rPr>
          <w:rFonts w:ascii="Times New Roman" w:hAnsi="Times New Roman"/>
          <w:sz w:val="22"/>
        </w:rPr>
        <w:t>A covered operator shall retain each determination, and each superseded determination, for not less than five years after the product is last offered.</w:t>
      </w:r>
    </w:p>
    <w:p>
      <w:pPr>
        <w:ind w:left="432" w:hanging="432"/>
        <w:jc w:val="both"/>
      </w:pPr>
      <w:r>
        <w:rPr>
          <w:rFonts w:ascii="Times New Roman" w:hAnsi="Times New Roman"/>
          <w:b/>
          <w:sz w:val="22"/>
        </w:rPr>
        <w:t xml:space="preserve">(e)  </w:t>
      </w:r>
      <w:r>
        <w:rPr>
          <w:rFonts w:ascii="Times New Roman" w:hAnsi="Times New Roman"/>
          <w:sz w:val="22"/>
        </w:rPr>
        <w:t>A covered operator shall produce a determination on request to an assessor or to any applicable regulatory authority.</w:t>
      </w:r>
    </w:p>
    <w:p>
      <w:pPr>
        <w:spacing w:before="200" w:after="200"/>
        <w:ind w:left="360" w:right="288"/>
        <w:pBdr>
          <w:top w:val="single" w:sz="4" w:space="8" w:color="B9C6CA"/>
          <w:bottom w:val="single" w:sz="4" w:space="8" w:color="B9C6CA"/>
          <w:left w:val="single" w:sz="4" w:space="8" w:color="B9C6CA"/>
          <w:right w:val="single" w:sz="4" w:space="8" w:color="B9C6CA"/>
        </w:pBdr>
        <w:shd w:val="clear" w:color="auto" w:fill="F2F6F7"/>
      </w:pPr>
      <w:r>
        <w:rPr>
          <w:rFonts w:ascii="Calibri" w:hAnsi="Calibri"/>
          <w:b/>
          <w:color w:val="143C46"/>
          <w:sz w:val="16"/>
        </w:rPr>
        <w:t>DRAFTING NOTE</w:t>
        <w:br/>
      </w:r>
      <w:r>
        <w:rPr>
          <w:rFonts w:ascii="Times New Roman" w:hAnsi="Times New Roman"/>
          <w:sz w:val="20"/>
        </w:rPr>
        <w:t>Paragraph (a) is what converts this standard from an analytical exercise into an operating requirement. A classification test that produces no record cannot be assessed, and an operator that has never written down why a product falls outside these Standards has not made a determination, it has made an assumption.</w:t>
      </w:r>
    </w:p>
    <w:p>
      <w:pPr>
        <w:pStyle w:val="Heading2"/>
      </w:pPr>
      <w:r>
        <w:rPr>
          <w:rFonts w:ascii="Times New Roman" w:hAnsi="Times New Roman"/>
          <w:b/>
          <w:color w:val="143C46"/>
          <w:sz w:val="23"/>
        </w:rPr>
        <w:t xml:space="preserve">§ 106.  </w:t>
      </w:r>
      <w:r>
        <w:rPr>
          <w:rFonts w:ascii="Times New Roman" w:hAnsi="Times New Roman"/>
          <w:b/>
          <w:color w:val="000000"/>
          <w:sz w:val="23"/>
        </w:rPr>
        <w:t>Reclassification</w:t>
      </w:r>
    </w:p>
    <w:p>
      <w:pPr>
        <w:ind w:left="432" w:hanging="432"/>
        <w:jc w:val="both"/>
      </w:pPr>
      <w:r>
        <w:rPr>
          <w:rFonts w:ascii="Times New Roman" w:hAnsi="Times New Roman"/>
          <w:b/>
          <w:sz w:val="22"/>
        </w:rPr>
        <w:t xml:space="preserve">(a)  </w:t>
      </w:r>
      <w:r>
        <w:rPr>
          <w:rFonts w:ascii="Times New Roman" w:hAnsi="Times New Roman"/>
          <w:sz w:val="22"/>
        </w:rPr>
        <w:t>A covered operator shall repeat the determination under § 105 where:</w:t>
      </w:r>
    </w:p>
    <w:p>
      <w:pPr>
        <w:ind w:left="864" w:hanging="432"/>
        <w:jc w:val="both"/>
      </w:pPr>
      <w:r>
        <w:rPr>
          <w:rFonts w:ascii="Times New Roman" w:hAnsi="Times New Roman"/>
          <w:b/>
          <w:sz w:val="22"/>
        </w:rPr>
        <w:t xml:space="preserve">(1)  </w:t>
      </w:r>
      <w:r>
        <w:rPr>
          <w:rFonts w:ascii="Times New Roman" w:hAnsi="Times New Roman"/>
          <w:sz w:val="22"/>
        </w:rPr>
        <w:t>the settlement terms of the product change;</w:t>
      </w:r>
    </w:p>
    <w:p>
      <w:pPr>
        <w:ind w:left="864" w:hanging="432"/>
        <w:jc w:val="both"/>
      </w:pPr>
      <w:r>
        <w:rPr>
          <w:rFonts w:ascii="Times New Roman" w:hAnsi="Times New Roman"/>
          <w:b/>
          <w:sz w:val="22"/>
        </w:rPr>
        <w:t xml:space="preserve">(2)  </w:t>
      </w:r>
      <w:r>
        <w:rPr>
          <w:rFonts w:ascii="Times New Roman" w:hAnsi="Times New Roman"/>
          <w:sz w:val="22"/>
        </w:rPr>
        <w:t>the resolution source changes or ceases to be available;</w:t>
      </w:r>
    </w:p>
    <w:p>
      <w:pPr>
        <w:ind w:left="864" w:hanging="432"/>
        <w:jc w:val="both"/>
      </w:pPr>
      <w:r>
        <w:rPr>
          <w:rFonts w:ascii="Times New Roman" w:hAnsi="Times New Roman"/>
          <w:b/>
          <w:sz w:val="22"/>
        </w:rPr>
        <w:t xml:space="preserve">(3)  </w:t>
      </w:r>
      <w:r>
        <w:rPr>
          <w:rFonts w:ascii="Times New Roman" w:hAnsi="Times New Roman"/>
          <w:sz w:val="22"/>
        </w:rPr>
        <w:t>the means by which a participant may close, reduce, or transfer a position change; or</w:t>
      </w:r>
    </w:p>
    <w:p>
      <w:pPr>
        <w:ind w:left="864" w:hanging="432"/>
        <w:jc w:val="both"/>
      </w:pPr>
      <w:r>
        <w:rPr>
          <w:rFonts w:ascii="Times New Roman" w:hAnsi="Times New Roman"/>
          <w:b/>
          <w:sz w:val="22"/>
        </w:rPr>
        <w:t xml:space="preserve">(4)  </w:t>
      </w:r>
      <w:r>
        <w:rPr>
          <w:rFonts w:ascii="Times New Roman" w:hAnsi="Times New Roman"/>
          <w:sz w:val="22"/>
        </w:rPr>
        <w:t>a licence relied on under § 104(g)(1) is varied, suspended, or withdrawn.</w:t>
      </w:r>
    </w:p>
    <w:p>
      <w:pPr>
        <w:ind w:left="432" w:hanging="432"/>
        <w:jc w:val="both"/>
      </w:pPr>
      <w:r>
        <w:rPr>
          <w:rFonts w:ascii="Times New Roman" w:hAnsi="Times New Roman"/>
          <w:b/>
          <w:sz w:val="22"/>
        </w:rPr>
        <w:t xml:space="preserve">(b)  </w:t>
      </w:r>
      <w:r>
        <w:rPr>
          <w:rFonts w:ascii="Times New Roman" w:hAnsi="Times New Roman"/>
          <w:sz w:val="22"/>
        </w:rPr>
        <w:t>A covered operator shall review each determination not less than annually.</w:t>
      </w:r>
    </w:p>
    <w:p>
      <w:pPr>
        <w:ind w:left="432" w:hanging="432"/>
        <w:jc w:val="both"/>
      </w:pPr>
      <w:r>
        <w:rPr>
          <w:rFonts w:ascii="Times New Roman" w:hAnsi="Times New Roman"/>
          <w:b/>
          <w:sz w:val="22"/>
        </w:rPr>
        <w:t xml:space="preserve">(c)  </w:t>
      </w:r>
      <w:r>
        <w:rPr>
          <w:rFonts w:ascii="Times New Roman" w:hAnsi="Times New Roman"/>
          <w:sz w:val="22"/>
        </w:rPr>
        <w:t>Where a product that was not a covered contract becomes one, the covered operator shall bring the product into compliance with PMCPS-M before continuing to offer it, or shall cease offering it.</w:t>
      </w:r>
    </w:p>
    <w:p>
      <w:pPr>
        <w:ind w:left="432" w:hanging="432"/>
        <w:jc w:val="both"/>
      </w:pPr>
      <w:r>
        <w:rPr>
          <w:rFonts w:ascii="Times New Roman" w:hAnsi="Times New Roman"/>
          <w:b/>
          <w:sz w:val="22"/>
        </w:rPr>
        <w:t xml:space="preserve">(d)  </w:t>
      </w:r>
      <w:r>
        <w:rPr>
          <w:rFonts w:ascii="Times New Roman" w:hAnsi="Times New Roman"/>
          <w:sz w:val="22"/>
        </w:rPr>
        <w:t>Where a product ceases to be a covered contract, the covered operator shall continue to apply PMCPS-M to positions opened while the product was a covered contract until those positions settle or are closed.</w:t>
      </w:r>
    </w:p>
    <w:p>
      <w:pPr>
        <w:pStyle w:val="Heading2"/>
      </w:pPr>
      <w:r>
        <w:rPr>
          <w:rFonts w:ascii="Times New Roman" w:hAnsi="Times New Roman"/>
          <w:b/>
          <w:color w:val="143C46"/>
          <w:sz w:val="23"/>
        </w:rPr>
        <w:t xml:space="preserve">§ 107.  </w:t>
      </w:r>
      <w:r>
        <w:rPr>
          <w:rFonts w:ascii="Times New Roman" w:hAnsi="Times New Roman"/>
          <w:b/>
          <w:color w:val="000000"/>
          <w:sz w:val="23"/>
        </w:rPr>
        <w:t>Relationship to classification tests under applicable law</w:t>
      </w:r>
    </w:p>
    <w:p>
      <w:pPr>
        <w:ind w:left="432" w:hanging="432"/>
        <w:jc w:val="both"/>
      </w:pPr>
      <w:r>
        <w:rPr>
          <w:rFonts w:ascii="Times New Roman" w:hAnsi="Times New Roman"/>
          <w:b/>
          <w:sz w:val="22"/>
        </w:rPr>
        <w:t xml:space="preserve">(a)  </w:t>
      </w:r>
      <w:r>
        <w:rPr>
          <w:rFonts w:ascii="Times New Roman" w:hAnsi="Times New Roman"/>
          <w:sz w:val="22"/>
        </w:rPr>
        <w:t>The test in § 104 is independent of the tests described in this section. A product may be a covered contract while falling outside each of them, and may fall within one or more of them without being a covered contract.</w:t>
      </w:r>
    </w:p>
    <w:p>
      <w:pPr>
        <w:ind w:left="432" w:hanging="432"/>
        <w:jc w:val="both"/>
      </w:pPr>
      <w:r>
        <w:rPr>
          <w:rFonts w:ascii="Times New Roman" w:hAnsi="Times New Roman"/>
          <w:b/>
          <w:sz w:val="22"/>
        </w:rPr>
        <w:t xml:space="preserve">(b)  </w:t>
      </w:r>
      <w:r>
        <w:rPr>
          <w:rFonts w:ascii="Times New Roman" w:hAnsi="Times New Roman"/>
          <w:b/>
          <w:sz w:val="22"/>
        </w:rPr>
        <w:t>Gaming under the Commission's proposed rule.</w:t>
      </w:r>
      <w:r>
        <w:rPr>
          <w:rFonts w:ascii="Times New Roman" w:hAnsi="Times New Roman"/>
          <w:sz w:val="22"/>
        </w:rPr>
        <w:t xml:space="preserve"> Proposed 17 C.F.R. § 40.11(b)(1) would define gaming as an activity that participants typically engage in for recreation or to entertain others, that is governed by rules, and that includes measurable occurrences or outcomes depending on the participants' luck, skill, or athletic ability. Proposed § 40.11(a)(3) would treat a contract as involving an activity where its settlement is determined by an occurrence or contingency in that activity. That test governs whether the Commission may find a contract contrary to the public interest. It does not address participant protection, and its first element turns on why the underlying activity is conducted, which is immaterial to a participant's exposure.</w:t>
      </w:r>
    </w:p>
    <w:p>
      <w:pPr>
        <w:ind w:left="432" w:hanging="432"/>
        <w:jc w:val="both"/>
      </w:pPr>
      <w:r>
        <w:rPr>
          <w:rFonts w:ascii="Times New Roman" w:hAnsi="Times New Roman"/>
          <w:b/>
          <w:sz w:val="22"/>
        </w:rPr>
        <w:t xml:space="preserve">(c)  </w:t>
      </w:r>
      <w:r>
        <w:rPr>
          <w:rFonts w:ascii="Times New Roman" w:hAnsi="Times New Roman"/>
          <w:b/>
          <w:sz w:val="22"/>
        </w:rPr>
        <w:t>Bet or wager under UIGEA.</w:t>
      </w:r>
      <w:r>
        <w:rPr>
          <w:rFonts w:ascii="Times New Roman" w:hAnsi="Times New Roman"/>
          <w:sz w:val="22"/>
        </w:rPr>
        <w:t xml:space="preserve"> 31 U.S.C. § 5362(1)(A) defines a bet or wager as the staking or risking of something of value upon the outcome of a contest of others, a sporting event, or a game subject to chance, upon an agreement that the person will receive something of value in the event of a certain outcome. Section 5362(1)(E)(ii) excludes any transaction conducted on or subject to the rules of a registered entity under the Commodity Exchange Act. That exclusion determines the reach of a payment-processing statute. It creates no substantive permission, and does not alter any tribal-state compact or the Indian Gaming Regulatory Act.</w:t>
      </w:r>
    </w:p>
    <w:p>
      <w:pPr>
        <w:ind w:left="432" w:hanging="432"/>
        <w:jc w:val="both"/>
      </w:pPr>
      <w:r>
        <w:rPr>
          <w:rFonts w:ascii="Times New Roman" w:hAnsi="Times New Roman"/>
          <w:b/>
          <w:sz w:val="22"/>
        </w:rPr>
        <w:t xml:space="preserve">(d)  </w:t>
      </w:r>
      <w:r>
        <w:rPr>
          <w:rFonts w:ascii="Times New Roman" w:hAnsi="Times New Roman"/>
          <w:b/>
          <w:sz w:val="22"/>
        </w:rPr>
        <w:t>Excluded commodity under the Commodity Exchange Act.</w:t>
      </w:r>
      <w:r>
        <w:rPr>
          <w:rFonts w:ascii="Times New Roman" w:hAnsi="Times New Roman"/>
          <w:sz w:val="22"/>
        </w:rPr>
        <w:t xml:space="preserve"> Section 1a(19)(iv) reaches an occurrence, extent of an occurrence, or contingency that is beyond the control of the parties and is associated with a financial, commercial, or economic consequence. Both elements are required. That test determines whether the Commission has subject matter reach, not whether a participant is protected.</w:t>
      </w:r>
    </w:p>
    <w:p>
      <w:pPr>
        <w:ind w:left="432" w:hanging="432"/>
        <w:jc w:val="both"/>
      </w:pPr>
      <w:r>
        <w:rPr>
          <w:rFonts w:ascii="Times New Roman" w:hAnsi="Times New Roman"/>
          <w:b/>
          <w:sz w:val="22"/>
        </w:rPr>
        <w:t xml:space="preserve">(e)  </w:t>
      </w:r>
      <w:r>
        <w:rPr>
          <w:rFonts w:ascii="Times New Roman" w:hAnsi="Times New Roman"/>
          <w:b/>
          <w:sz w:val="22"/>
        </w:rPr>
        <w:t>Class III gaming under the Indian Gaming Regulatory Act.</w:t>
      </w:r>
      <w:r>
        <w:rPr>
          <w:rFonts w:ascii="Times New Roman" w:hAnsi="Times New Roman"/>
          <w:sz w:val="22"/>
        </w:rPr>
        <w:t xml:space="preserve"> 25 C.F.R. § 502.4 defines class III gaming residually as all forms of gaming that are not class I or class II, expressly including any sports betting and pari-mutuel wagering. That test determines whether conduct on Indian lands requires a compact.</w:t>
      </w:r>
    </w:p>
    <w:p>
      <w:pPr>
        <w:ind w:left="432" w:hanging="432"/>
        <w:jc w:val="both"/>
      </w:pPr>
      <w:r>
        <w:rPr>
          <w:rFonts w:ascii="Times New Roman" w:hAnsi="Times New Roman"/>
          <w:b/>
          <w:sz w:val="22"/>
        </w:rPr>
        <w:t xml:space="preserve">(f)  </w:t>
      </w:r>
      <w:r>
        <w:rPr>
          <w:rFonts w:ascii="Times New Roman" w:hAnsi="Times New Roman"/>
          <w:b/>
          <w:sz w:val="22"/>
        </w:rPr>
        <w:t>State definitions.</w:t>
      </w:r>
      <w:r>
        <w:rPr>
          <w:rFonts w:ascii="Times New Roman" w:hAnsi="Times New Roman"/>
          <w:sz w:val="22"/>
        </w:rPr>
        <w:t xml:space="preserve"> A state definition may reach a product by structure rather than by form. Ohio Rev. Code § 3775.01(O)(2) includes exchange wagering within sports gaming. An operator shall not treat the order-book structure of a product as determinative of its classification under state law.</w:t>
      </w:r>
    </w:p>
    <w:p>
      <w:pPr>
        <w:ind w:left="432" w:hanging="432"/>
        <w:jc w:val="both"/>
      </w:pPr>
      <w:r>
        <w:rPr>
          <w:rFonts w:ascii="Times New Roman" w:hAnsi="Times New Roman"/>
          <w:b/>
          <w:sz w:val="22"/>
        </w:rPr>
        <w:t xml:space="preserve">(g)  </w:t>
      </w:r>
      <w:r>
        <w:rPr>
          <w:rFonts w:ascii="Times New Roman" w:hAnsi="Times New Roman"/>
          <w:sz w:val="22"/>
        </w:rPr>
        <w:t>Appendix B compares these tests.</w:t>
      </w:r>
    </w:p>
    <w:p>
      <w:pPr>
        <w:spacing w:before="240"/>
        <w:pBdr>
          <w:top w:val="single" w:sz="4" w:space="6" w:color="8A8A8A"/>
        </w:pBdr>
      </w:pPr>
      <w:r>
        <w:rPr>
          <w:rFonts w:ascii="Times New Roman" w:hAnsi="Times New Roman"/>
          <w:i/>
          <w:color w:val="555555"/>
          <w:sz w:val="17"/>
        </w:rPr>
        <w:t>Basis: Proposed 17 C.F.R. § 40.11(a)(3), (b)(1), 91 Fed. Reg. (June 9, 2026); 31 U.S.C. § 5362(1); 7 U.S.C. § 1a(19)(iv); 25 C.F.R. §§ 502.3, 502.4; Ohio Rev. Code § 3775.01(O); Ho-Chunk Nation v. Kalshi Inc., No. 25-cv-698-wmc (W.D. Wis. May 11, 2026); 25 C.F.R. pt. 543; Ohio Admin. Code 3772-12-01.</w:t>
      </w:r>
    </w:p>
    <w:p>
      <w:r>
        <w:br w:type="page"/>
      </w:r>
    </w:p>
    <w:p>
      <w:pPr>
        <w:spacing w:after="40"/>
      </w:pPr>
      <w:r>
        <w:rPr>
          <w:rFonts w:ascii="Calibri" w:hAnsi="Calibri"/>
          <w:b/>
          <w:color w:val="143C46"/>
          <w:sz w:val="18"/>
        </w:rPr>
        <w:t>APPENDIX A</w:t>
      </w:r>
    </w:p>
    <w:p>
      <w:pPr>
        <w:pStyle w:val="Heading1"/>
        <w:spacing w:before="0"/>
        <w:pBdr>
          <w:bottom w:val="single" w:sz="8" w:space="6" w:color="143C46"/>
        </w:pBdr>
      </w:pPr>
      <w:r>
        <w:rPr>
          <w:rFonts w:ascii="Times New Roman" w:hAnsi="Times New Roman"/>
          <w:b/>
          <w:color w:val="000000"/>
          <w:sz w:val="30"/>
        </w:rPr>
        <w:t>Application of the § 104 Test</w:t>
      </w:r>
    </w:p>
    <w:p>
      <w:pPr>
        <w:jc w:val="both"/>
      </w:pPr>
      <w:r>
        <w:rPr>
          <w:rFonts w:ascii="Times New Roman" w:hAnsi="Times New Roman"/>
          <w:sz w:val="22"/>
        </w:rPr>
        <w:t>This Appendix applies the test in § 104 to specified products. It is illustrative. Where an example conflicts with § 104, § 104 governs.</w:t>
      </w:r>
    </w:p>
    <w:p>
      <w:pPr>
        <w:jc w:val="both"/>
      </w:pPr>
      <w:r>
        <w:rPr>
          <w:rFonts w:ascii="Times New Roman" w:hAnsi="Times New Roman"/>
          <w:sz w:val="22"/>
        </w:rPr>
        <w:t>Y indicates the gate is satisfied. N indicates it is not. A dash indicates the gate was not reached because an earlier gate failed. Under Gate 5, "excl" indicates that an exclusion applies.</w:t>
      </w:r>
    </w:p>
    <w:tbl>
      <w:tblPr>
        <w:tblStyle w:val="TableGrid"/>
        <w:tblW w:type="auto" w:w="0"/>
        <w:jc w:val="center"/>
        <w:tblLayout w:type="autofit"/>
        <w:tblLook w:firstColumn="1" w:firstRow="1" w:lastColumn="0" w:lastRow="0" w:noHBand="0" w:noVBand="1" w:val="04A0"/>
      </w:tblPr>
      <w:tblGrid>
        <w:gridCol w:w="1116"/>
        <w:gridCol w:w="1116"/>
        <w:gridCol w:w="1116"/>
        <w:gridCol w:w="1116"/>
        <w:gridCol w:w="1116"/>
        <w:gridCol w:w="1116"/>
        <w:gridCol w:w="1116"/>
        <w:gridCol w:w="1116"/>
      </w:tblGrid>
      <w:tr>
        <w:tc>
          <w:tcPr>
            <w:tcW w:type="dxa" w:w="1116"/>
            <w:shd w:val="clear" w:color="auto" w:fill="E8ECEE"/>
          </w:tcPr>
          <w:p>
            <w:pPr>
              <w:spacing w:after="40" w:before="40"/>
            </w:pPr>
            <w:r/>
            <w:r>
              <w:rPr>
                <w:rFonts w:ascii="Calibri" w:hAnsi="Calibri"/>
                <w:b/>
                <w:sz w:val="16"/>
              </w:rPr>
              <w:t>#</w:t>
            </w:r>
          </w:p>
        </w:tc>
        <w:tc>
          <w:tcPr>
            <w:tcW w:type="dxa" w:w="1116"/>
            <w:shd w:val="clear" w:color="auto" w:fill="E8ECEE"/>
          </w:tcPr>
          <w:p>
            <w:pPr>
              <w:spacing w:after="40" w:before="40"/>
            </w:pPr>
            <w:r/>
            <w:r>
              <w:rPr>
                <w:rFonts w:ascii="Calibri" w:hAnsi="Calibri"/>
                <w:b/>
                <w:sz w:val="16"/>
              </w:rPr>
              <w:t>Product</w:t>
            </w:r>
          </w:p>
        </w:tc>
        <w:tc>
          <w:tcPr>
            <w:tcW w:type="dxa" w:w="1116"/>
            <w:shd w:val="clear" w:color="auto" w:fill="E8ECEE"/>
          </w:tcPr>
          <w:p>
            <w:pPr>
              <w:spacing w:after="40" w:before="40"/>
            </w:pPr>
            <w:r/>
            <w:r>
              <w:rPr>
                <w:rFonts w:ascii="Calibri" w:hAnsi="Calibri"/>
                <w:b/>
                <w:sz w:val="16"/>
              </w:rPr>
              <w:t>G1 stake</w:t>
            </w:r>
          </w:p>
        </w:tc>
        <w:tc>
          <w:tcPr>
            <w:tcW w:type="dxa" w:w="1116"/>
            <w:shd w:val="clear" w:color="auto" w:fill="E8ECEE"/>
          </w:tcPr>
          <w:p>
            <w:pPr>
              <w:spacing w:after="40" w:before="40"/>
            </w:pPr>
            <w:r/>
            <w:r>
              <w:rPr>
                <w:rFonts w:ascii="Calibri" w:hAnsi="Calibri"/>
                <w:b/>
                <w:sz w:val="16"/>
              </w:rPr>
              <w:t>G2 discrete</w:t>
            </w:r>
          </w:p>
        </w:tc>
        <w:tc>
          <w:tcPr>
            <w:tcW w:type="dxa" w:w="1116"/>
            <w:shd w:val="clear" w:color="auto" w:fill="E8ECEE"/>
          </w:tcPr>
          <w:p>
            <w:pPr>
              <w:spacing w:after="40" w:before="40"/>
            </w:pPr>
            <w:r/>
            <w:r>
              <w:rPr>
                <w:rFonts w:ascii="Calibri" w:hAnsi="Calibri"/>
                <w:b/>
                <w:sz w:val="16"/>
              </w:rPr>
              <w:t>G3 tradeable</w:t>
            </w:r>
          </w:p>
        </w:tc>
        <w:tc>
          <w:tcPr>
            <w:tcW w:type="dxa" w:w="1116"/>
            <w:shd w:val="clear" w:color="auto" w:fill="E8ECEE"/>
          </w:tcPr>
          <w:p>
            <w:pPr>
              <w:spacing w:after="40" w:before="40"/>
            </w:pPr>
            <w:r/>
            <w:r>
              <w:rPr>
                <w:rFonts w:ascii="Calibri" w:hAnsi="Calibri"/>
                <w:b/>
                <w:sz w:val="16"/>
              </w:rPr>
              <w:t>G4 no hedge</w:t>
            </w:r>
          </w:p>
        </w:tc>
        <w:tc>
          <w:tcPr>
            <w:tcW w:type="dxa" w:w="1116"/>
            <w:shd w:val="clear" w:color="auto" w:fill="E8ECEE"/>
          </w:tcPr>
          <w:p>
            <w:pPr>
              <w:spacing w:after="40" w:before="40"/>
            </w:pPr>
            <w:r/>
            <w:r>
              <w:rPr>
                <w:rFonts w:ascii="Calibri" w:hAnsi="Calibri"/>
                <w:b/>
                <w:sz w:val="16"/>
              </w:rPr>
              <w:t>G5</w:t>
            </w:r>
          </w:p>
        </w:tc>
        <w:tc>
          <w:tcPr>
            <w:tcW w:type="dxa" w:w="1116"/>
            <w:shd w:val="clear" w:color="auto" w:fill="E8ECEE"/>
          </w:tcPr>
          <w:p>
            <w:pPr>
              <w:spacing w:after="40" w:before="40"/>
            </w:pPr>
            <w:r/>
            <w:r>
              <w:rPr>
                <w:rFonts w:ascii="Calibri" w:hAnsi="Calibri"/>
                <w:b/>
                <w:sz w:val="16"/>
              </w:rPr>
              <w:t>Result</w:t>
            </w:r>
          </w:p>
        </w:tc>
      </w:tr>
      <w:tr>
        <w:tc>
          <w:tcPr>
            <w:tcW w:type="dxa" w:w="1116"/>
          </w:tcPr>
          <w:p>
            <w:pPr>
              <w:spacing w:after="40" w:before="40"/>
            </w:pPr>
            <w:r/>
            <w:r>
              <w:rPr>
                <w:rFonts w:ascii="Times New Roman" w:hAnsi="Times New Roman"/>
                <w:sz w:val="17"/>
              </w:rPr>
              <w:t>1</w:t>
            </w:r>
          </w:p>
        </w:tc>
        <w:tc>
          <w:tcPr>
            <w:tcW w:type="dxa" w:w="1116"/>
          </w:tcPr>
          <w:p>
            <w:pPr>
              <w:spacing w:after="40" w:before="40"/>
            </w:pPr>
            <w:r/>
            <w:r>
              <w:rPr>
                <w:rFonts w:ascii="Times New Roman" w:hAnsi="Times New Roman"/>
                <w:sz w:val="17"/>
              </w:rPr>
              <w:t>Binary contract, "Will [team] win [title]?", retail participant on a derivatives exchange</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none</w:t>
            </w:r>
          </w:p>
        </w:tc>
        <w:tc>
          <w:tcPr>
            <w:tcW w:type="dxa" w:w="1116"/>
          </w:tcPr>
          <w:p>
            <w:pPr>
              <w:spacing w:after="40" w:before="40"/>
            </w:pPr>
            <w:r/>
            <w:r>
              <w:rPr>
                <w:rFonts w:ascii="Times New Roman" w:hAnsi="Times New Roman"/>
                <w:b/>
                <w:sz w:val="17"/>
              </w:rPr>
              <w:t>Covered</w:t>
            </w:r>
          </w:p>
        </w:tc>
      </w:tr>
      <w:tr>
        <w:tc>
          <w:tcPr>
            <w:tcW w:type="dxa" w:w="1116"/>
          </w:tcPr>
          <w:p>
            <w:pPr>
              <w:spacing w:after="40" w:before="40"/>
            </w:pPr>
            <w:r/>
            <w:r>
              <w:rPr>
                <w:rFonts w:ascii="Times New Roman" w:hAnsi="Times New Roman"/>
                <w:sz w:val="17"/>
              </w:rPr>
              <w:t>2</w:t>
            </w:r>
          </w:p>
        </w:tc>
        <w:tc>
          <w:tcPr>
            <w:tcW w:type="dxa" w:w="1116"/>
          </w:tcPr>
          <w:p>
            <w:pPr>
              <w:spacing w:after="40" w:before="40"/>
            </w:pPr>
            <w:r/>
            <w:r>
              <w:rPr>
                <w:rFonts w:ascii="Times New Roman" w:hAnsi="Times New Roman"/>
                <w:sz w:val="17"/>
              </w:rPr>
              <w:t>Binary contract, "Will [player] score the first touchdown?"</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none</w:t>
            </w:r>
          </w:p>
        </w:tc>
        <w:tc>
          <w:tcPr>
            <w:tcW w:type="dxa" w:w="1116"/>
          </w:tcPr>
          <w:p>
            <w:pPr>
              <w:spacing w:after="40" w:before="40"/>
            </w:pPr>
            <w:r/>
            <w:r>
              <w:rPr>
                <w:rFonts w:ascii="Times New Roman" w:hAnsi="Times New Roman"/>
                <w:b/>
                <w:sz w:val="17"/>
              </w:rPr>
              <w:t>Covered</w:t>
            </w:r>
          </w:p>
        </w:tc>
      </w:tr>
      <w:tr>
        <w:tc>
          <w:tcPr>
            <w:tcW w:type="dxa" w:w="1116"/>
          </w:tcPr>
          <w:p>
            <w:pPr>
              <w:spacing w:after="40" w:before="40"/>
            </w:pPr>
            <w:r/>
            <w:r>
              <w:rPr>
                <w:rFonts w:ascii="Times New Roman" w:hAnsi="Times New Roman"/>
                <w:sz w:val="17"/>
              </w:rPr>
              <w:t>3</w:t>
            </w:r>
          </w:p>
        </w:tc>
        <w:tc>
          <w:tcPr>
            <w:tcW w:type="dxa" w:w="1116"/>
          </w:tcPr>
          <w:p>
            <w:pPr>
              <w:spacing w:after="40" w:before="40"/>
            </w:pPr>
            <w:r/>
            <w:r>
              <w:rPr>
                <w:rFonts w:ascii="Times New Roman" w:hAnsi="Times New Roman"/>
                <w:sz w:val="17"/>
              </w:rPr>
              <w:t>Binary contract on the winner of a political election</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none</w:t>
            </w:r>
          </w:p>
        </w:tc>
        <w:tc>
          <w:tcPr>
            <w:tcW w:type="dxa" w:w="1116"/>
          </w:tcPr>
          <w:p>
            <w:pPr>
              <w:spacing w:after="40" w:before="40"/>
            </w:pPr>
            <w:r/>
            <w:r>
              <w:rPr>
                <w:rFonts w:ascii="Times New Roman" w:hAnsi="Times New Roman"/>
                <w:b/>
                <w:sz w:val="17"/>
              </w:rPr>
              <w:t>Covered</w:t>
            </w:r>
          </w:p>
        </w:tc>
      </w:tr>
      <w:tr>
        <w:tc>
          <w:tcPr>
            <w:tcW w:type="dxa" w:w="1116"/>
          </w:tcPr>
          <w:p>
            <w:pPr>
              <w:spacing w:after="40" w:before="40"/>
            </w:pPr>
            <w:r/>
            <w:r>
              <w:rPr>
                <w:rFonts w:ascii="Times New Roman" w:hAnsi="Times New Roman"/>
                <w:sz w:val="17"/>
              </w:rPr>
              <w:t>4</w:t>
            </w:r>
          </w:p>
        </w:tc>
        <w:tc>
          <w:tcPr>
            <w:tcW w:type="dxa" w:w="1116"/>
          </w:tcPr>
          <w:p>
            <w:pPr>
              <w:spacing w:after="40" w:before="40"/>
            </w:pPr>
            <w:r/>
            <w:r>
              <w:rPr>
                <w:rFonts w:ascii="Times New Roman" w:hAnsi="Times New Roman"/>
                <w:sz w:val="17"/>
              </w:rPr>
              <w:t>Binary contract on whether a named individual will attend a scheduled public event</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none</w:t>
            </w:r>
          </w:p>
        </w:tc>
        <w:tc>
          <w:tcPr>
            <w:tcW w:type="dxa" w:w="1116"/>
          </w:tcPr>
          <w:p>
            <w:pPr>
              <w:spacing w:after="40" w:before="40"/>
            </w:pPr>
            <w:r/>
            <w:r>
              <w:rPr>
                <w:rFonts w:ascii="Times New Roman" w:hAnsi="Times New Roman"/>
                <w:b/>
                <w:sz w:val="17"/>
              </w:rPr>
              <w:t>Covered</w:t>
            </w:r>
          </w:p>
        </w:tc>
      </w:tr>
      <w:tr>
        <w:tc>
          <w:tcPr>
            <w:tcW w:type="dxa" w:w="1116"/>
          </w:tcPr>
          <w:p>
            <w:pPr>
              <w:spacing w:after="40" w:before="40"/>
            </w:pPr>
            <w:r/>
            <w:r>
              <w:rPr>
                <w:rFonts w:ascii="Times New Roman" w:hAnsi="Times New Roman"/>
                <w:sz w:val="17"/>
              </w:rPr>
              <w:t>5</w:t>
            </w:r>
          </w:p>
        </w:tc>
        <w:tc>
          <w:tcPr>
            <w:tcW w:type="dxa" w:w="1116"/>
          </w:tcPr>
          <w:p>
            <w:pPr>
              <w:spacing w:after="40" w:before="40"/>
            </w:pPr>
            <w:r/>
            <w:r>
              <w:rPr>
                <w:rFonts w:ascii="Times New Roman" w:hAnsi="Times New Roman"/>
                <w:sz w:val="17"/>
              </w:rPr>
              <w:t>Binary contract, "Will CPI exceed 3 percent?", retail participant with no exposure</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none</w:t>
            </w:r>
          </w:p>
        </w:tc>
        <w:tc>
          <w:tcPr>
            <w:tcW w:type="dxa" w:w="1116"/>
          </w:tcPr>
          <w:p>
            <w:pPr>
              <w:spacing w:after="40" w:before="40"/>
            </w:pPr>
            <w:r/>
            <w:r>
              <w:rPr>
                <w:rFonts w:ascii="Times New Roman" w:hAnsi="Times New Roman"/>
                <w:b/>
                <w:sz w:val="17"/>
              </w:rPr>
              <w:t>Covered</w:t>
            </w:r>
          </w:p>
        </w:tc>
      </w:tr>
      <w:tr>
        <w:tc>
          <w:tcPr>
            <w:tcW w:type="dxa" w:w="1116"/>
          </w:tcPr>
          <w:p>
            <w:pPr>
              <w:spacing w:after="40" w:before="40"/>
            </w:pPr>
            <w:r/>
            <w:r>
              <w:rPr>
                <w:rFonts w:ascii="Times New Roman" w:hAnsi="Times New Roman"/>
                <w:sz w:val="17"/>
              </w:rPr>
              <w:t>6</w:t>
            </w:r>
          </w:p>
        </w:tc>
        <w:tc>
          <w:tcPr>
            <w:tcW w:type="dxa" w:w="1116"/>
          </w:tcPr>
          <w:p>
            <w:pPr>
              <w:spacing w:after="40" w:before="40"/>
            </w:pPr>
            <w:r/>
            <w:r>
              <w:rPr>
                <w:rFonts w:ascii="Times New Roman" w:hAnsi="Times New Roman"/>
                <w:sz w:val="17"/>
              </w:rPr>
              <w:t>The same contract as example 5, bought by a firm documenting an input-cost exposure</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N</w:t>
            </w:r>
          </w:p>
        </w:tc>
        <w:tc>
          <w:tcPr>
            <w:tcW w:type="dxa" w:w="1116"/>
          </w:tcPr>
          <w:p>
            <w:pPr>
              <w:spacing w:after="40" w:before="40"/>
            </w:pPr>
            <w:r/>
            <w:r>
              <w:rPr>
                <w:rFonts w:ascii="Times New Roman" w:hAnsi="Times New Roman"/>
                <w:sz w:val="17"/>
              </w:rPr>
              <w:t>not reached</w:t>
            </w:r>
          </w:p>
        </w:tc>
        <w:tc>
          <w:tcPr>
            <w:tcW w:type="dxa" w:w="1116"/>
          </w:tcPr>
          <w:p>
            <w:pPr>
              <w:spacing w:after="40" w:before="40"/>
            </w:pPr>
            <w:r/>
            <w:r>
              <w:rPr>
                <w:rFonts w:ascii="Times New Roman" w:hAnsi="Times New Roman"/>
                <w:sz w:val="17"/>
              </w:rPr>
              <w:t>Not covered as to that participant</w:t>
            </w:r>
          </w:p>
        </w:tc>
      </w:tr>
      <w:tr>
        <w:tc>
          <w:tcPr>
            <w:tcW w:type="dxa" w:w="1116"/>
          </w:tcPr>
          <w:p>
            <w:pPr>
              <w:spacing w:after="40" w:before="40"/>
            </w:pPr>
            <w:r/>
            <w:r>
              <w:rPr>
                <w:rFonts w:ascii="Times New Roman" w:hAnsi="Times New Roman"/>
                <w:sz w:val="17"/>
              </w:rPr>
              <w:t>7</w:t>
            </w:r>
          </w:p>
        </w:tc>
        <w:tc>
          <w:tcPr>
            <w:tcW w:type="dxa" w:w="1116"/>
          </w:tcPr>
          <w:p>
            <w:pPr>
              <w:spacing w:after="40" w:before="40"/>
            </w:pPr>
            <w:r/>
            <w:r>
              <w:rPr>
                <w:rFonts w:ascii="Times New Roman" w:hAnsi="Times New Roman"/>
                <w:b/>
                <w:sz w:val="17"/>
              </w:rPr>
              <w:t>Fixed-odds wager at a state-licensed sportsbook</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b/>
                <w:sz w:val="17"/>
              </w:rPr>
              <w:t>N</w:t>
            </w:r>
          </w:p>
        </w:tc>
        <w:tc>
          <w:tcPr>
            <w:tcW w:type="dxa" w:w="1116"/>
          </w:tcPr>
          <w:p>
            <w:pPr>
              <w:spacing w:after="40" w:before="40"/>
            </w:pPr>
            <w:r/>
            <w:r>
              <w:rPr>
                <w:rFonts w:ascii="Times New Roman" w:hAnsi="Times New Roman"/>
                <w:sz w:val="17"/>
              </w:rPr>
              <w:t>not reached</w:t>
            </w:r>
          </w:p>
        </w:tc>
        <w:tc>
          <w:tcPr>
            <w:tcW w:type="dxa" w:w="1116"/>
          </w:tcPr>
          <w:p>
            <w:pPr>
              <w:spacing w:after="40" w:before="40"/>
            </w:pPr>
            <w:r/>
            <w:r>
              <w:rPr>
                <w:rFonts w:ascii="Times New Roman" w:hAnsi="Times New Roman"/>
                <w:b/>
                <w:sz w:val="17"/>
              </w:rPr>
              <w:t>excl</w:t>
            </w:r>
          </w:p>
        </w:tc>
        <w:tc>
          <w:tcPr>
            <w:tcW w:type="dxa" w:w="1116"/>
          </w:tcPr>
          <w:p>
            <w:pPr>
              <w:spacing w:after="40" w:before="40"/>
            </w:pPr>
            <w:r/>
            <w:r>
              <w:rPr>
                <w:rFonts w:ascii="Times New Roman" w:hAnsi="Times New Roman"/>
                <w:b/>
                <w:sz w:val="17"/>
              </w:rPr>
              <w:t>Not covered</w:t>
            </w:r>
          </w:p>
        </w:tc>
      </w:tr>
      <w:tr>
        <w:tc>
          <w:tcPr>
            <w:tcW w:type="dxa" w:w="1116"/>
          </w:tcPr>
          <w:p>
            <w:pPr>
              <w:spacing w:after="40" w:before="40"/>
            </w:pPr>
            <w:r/>
            <w:r>
              <w:rPr>
                <w:rFonts w:ascii="Times New Roman" w:hAnsi="Times New Roman"/>
                <w:sz w:val="17"/>
              </w:rPr>
              <w:t>8</w:t>
            </w:r>
          </w:p>
        </w:tc>
        <w:tc>
          <w:tcPr>
            <w:tcW w:type="dxa" w:w="1116"/>
          </w:tcPr>
          <w:p>
            <w:pPr>
              <w:spacing w:after="40" w:before="40"/>
            </w:pPr>
            <w:r/>
            <w:r>
              <w:rPr>
                <w:rFonts w:ascii="Times New Roman" w:hAnsi="Times New Roman"/>
                <w:sz w:val="17"/>
              </w:rPr>
              <w:t>The same wager as example 7, where the sportsbook offers a cash-out</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b/>
                <w:sz w:val="17"/>
              </w:rPr>
              <w:t>N</w:t>
            </w:r>
          </w:p>
        </w:tc>
        <w:tc>
          <w:tcPr>
            <w:tcW w:type="dxa" w:w="1116"/>
          </w:tcPr>
          <w:p>
            <w:pPr>
              <w:spacing w:after="40" w:before="40"/>
            </w:pPr>
            <w:r/>
            <w:r>
              <w:rPr>
                <w:rFonts w:ascii="Times New Roman" w:hAnsi="Times New Roman"/>
                <w:sz w:val="17"/>
              </w:rPr>
              <w:t>not reached</w:t>
            </w:r>
          </w:p>
        </w:tc>
        <w:tc>
          <w:tcPr>
            <w:tcW w:type="dxa" w:w="1116"/>
          </w:tcPr>
          <w:p>
            <w:pPr>
              <w:spacing w:after="40" w:before="40"/>
            </w:pPr>
            <w:r/>
            <w:r>
              <w:rPr>
                <w:rFonts w:ascii="Times New Roman" w:hAnsi="Times New Roman"/>
                <w:b/>
                <w:sz w:val="17"/>
              </w:rPr>
              <w:t>excl</w:t>
            </w:r>
          </w:p>
        </w:tc>
        <w:tc>
          <w:tcPr>
            <w:tcW w:type="dxa" w:w="1116"/>
          </w:tcPr>
          <w:p>
            <w:pPr>
              <w:spacing w:after="40" w:before="40"/>
            </w:pPr>
            <w:r/>
            <w:r>
              <w:rPr>
                <w:rFonts w:ascii="Times New Roman" w:hAnsi="Times New Roman"/>
                <w:b/>
                <w:sz w:val="17"/>
              </w:rPr>
              <w:t>Not covered</w:t>
            </w:r>
          </w:p>
        </w:tc>
      </w:tr>
      <w:tr>
        <w:tc>
          <w:tcPr>
            <w:tcW w:type="dxa" w:w="1116"/>
          </w:tcPr>
          <w:p>
            <w:pPr>
              <w:spacing w:after="40" w:before="40"/>
            </w:pPr>
            <w:r/>
            <w:r>
              <w:rPr>
                <w:rFonts w:ascii="Times New Roman" w:hAnsi="Times New Roman"/>
                <w:sz w:val="17"/>
              </w:rPr>
              <w:t>9</w:t>
            </w:r>
          </w:p>
        </w:tc>
        <w:tc>
          <w:tcPr>
            <w:tcW w:type="dxa" w:w="1116"/>
          </w:tcPr>
          <w:p>
            <w:pPr>
              <w:spacing w:after="40" w:before="40"/>
            </w:pPr>
            <w:r/>
            <w:r>
              <w:rPr>
                <w:rFonts w:ascii="Times New Roman" w:hAnsi="Times New Roman"/>
                <w:sz w:val="17"/>
              </w:rPr>
              <w:t>Pari-mutuel wager into a horse racing pool</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b/>
                <w:sz w:val="17"/>
              </w:rPr>
              <w:t>N</w:t>
            </w:r>
          </w:p>
        </w:tc>
        <w:tc>
          <w:tcPr>
            <w:tcW w:type="dxa" w:w="1116"/>
          </w:tcPr>
          <w:p>
            <w:pPr>
              <w:spacing w:after="40" w:before="40"/>
            </w:pPr>
            <w:r/>
            <w:r>
              <w:rPr>
                <w:rFonts w:ascii="Times New Roman" w:hAnsi="Times New Roman"/>
                <w:sz w:val="17"/>
              </w:rPr>
              <w:t>not reached</w:t>
            </w:r>
          </w:p>
        </w:tc>
        <w:tc>
          <w:tcPr>
            <w:tcW w:type="dxa" w:w="1116"/>
          </w:tcPr>
          <w:p>
            <w:pPr>
              <w:spacing w:after="40" w:before="40"/>
            </w:pPr>
            <w:r/>
            <w:r>
              <w:rPr>
                <w:rFonts w:ascii="Times New Roman" w:hAnsi="Times New Roman"/>
                <w:sz w:val="17"/>
              </w:rPr>
              <w:t>excl</w:t>
            </w:r>
          </w:p>
        </w:tc>
        <w:tc>
          <w:tcPr>
            <w:tcW w:type="dxa" w:w="1116"/>
          </w:tcPr>
          <w:p>
            <w:pPr>
              <w:spacing w:after="40" w:before="40"/>
            </w:pPr>
            <w:r/>
            <w:r>
              <w:rPr>
                <w:rFonts w:ascii="Times New Roman" w:hAnsi="Times New Roman"/>
                <w:sz w:val="17"/>
              </w:rPr>
              <w:t>Not covered</w:t>
            </w:r>
          </w:p>
        </w:tc>
      </w:tr>
      <w:tr>
        <w:tc>
          <w:tcPr>
            <w:tcW w:type="dxa" w:w="1116"/>
          </w:tcPr>
          <w:p>
            <w:pPr>
              <w:spacing w:after="40" w:before="40"/>
            </w:pPr>
            <w:r/>
            <w:r>
              <w:rPr>
                <w:rFonts w:ascii="Times New Roman" w:hAnsi="Times New Roman"/>
                <w:sz w:val="17"/>
              </w:rPr>
              <w:t>10</w:t>
            </w:r>
          </w:p>
        </w:tc>
        <w:tc>
          <w:tcPr>
            <w:tcW w:type="dxa" w:w="1116"/>
          </w:tcPr>
          <w:p>
            <w:pPr>
              <w:spacing w:after="40" w:before="40"/>
            </w:pPr>
            <w:r/>
            <w:r>
              <w:rPr>
                <w:rFonts w:ascii="Times New Roman" w:hAnsi="Times New Roman"/>
                <w:sz w:val="17"/>
              </w:rPr>
              <w:t>Slot machine or other casino game</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b/>
                <w:sz w:val="17"/>
              </w:rPr>
              <w:t>N</w:t>
            </w:r>
          </w:p>
        </w:tc>
        <w:tc>
          <w:tcPr>
            <w:tcW w:type="dxa" w:w="1116"/>
          </w:tcPr>
          <w:p>
            <w:pPr>
              <w:spacing w:after="40" w:before="40"/>
            </w:pPr>
            <w:r/>
            <w:r>
              <w:rPr>
                <w:rFonts w:ascii="Times New Roman" w:hAnsi="Times New Roman"/>
                <w:sz w:val="17"/>
              </w:rPr>
              <w:t>not reached</w:t>
            </w:r>
          </w:p>
        </w:tc>
        <w:tc>
          <w:tcPr>
            <w:tcW w:type="dxa" w:w="1116"/>
          </w:tcPr>
          <w:p>
            <w:pPr>
              <w:spacing w:after="40" w:before="40"/>
            </w:pPr>
            <w:r/>
            <w:r>
              <w:rPr>
                <w:rFonts w:ascii="Times New Roman" w:hAnsi="Times New Roman"/>
                <w:sz w:val="17"/>
              </w:rPr>
              <w:t>not reached</w:t>
            </w:r>
          </w:p>
        </w:tc>
        <w:tc>
          <w:tcPr>
            <w:tcW w:type="dxa" w:w="1116"/>
          </w:tcPr>
          <w:p>
            <w:pPr>
              <w:spacing w:after="40" w:before="40"/>
            </w:pPr>
            <w:r/>
            <w:r>
              <w:rPr>
                <w:rFonts w:ascii="Times New Roman" w:hAnsi="Times New Roman"/>
                <w:sz w:val="17"/>
              </w:rPr>
              <w:t>excl</w:t>
            </w:r>
          </w:p>
        </w:tc>
        <w:tc>
          <w:tcPr>
            <w:tcW w:type="dxa" w:w="1116"/>
          </w:tcPr>
          <w:p>
            <w:pPr>
              <w:spacing w:after="40" w:before="40"/>
            </w:pPr>
            <w:r/>
            <w:r>
              <w:rPr>
                <w:rFonts w:ascii="Times New Roman" w:hAnsi="Times New Roman"/>
                <w:sz w:val="17"/>
              </w:rPr>
              <w:t>Not covered</w:t>
            </w:r>
          </w:p>
        </w:tc>
      </w:tr>
      <w:tr>
        <w:tc>
          <w:tcPr>
            <w:tcW w:type="dxa" w:w="1116"/>
          </w:tcPr>
          <w:p>
            <w:pPr>
              <w:spacing w:after="40" w:before="40"/>
            </w:pPr>
            <w:r/>
            <w:r>
              <w:rPr>
                <w:rFonts w:ascii="Times New Roman" w:hAnsi="Times New Roman"/>
                <w:sz w:val="17"/>
              </w:rPr>
              <w:t>11</w:t>
            </w:r>
          </w:p>
        </w:tc>
        <w:tc>
          <w:tcPr>
            <w:tcW w:type="dxa" w:w="1116"/>
          </w:tcPr>
          <w:p>
            <w:pPr>
              <w:spacing w:after="40" w:before="40"/>
            </w:pPr>
            <w:r/>
            <w:r>
              <w:rPr>
                <w:rFonts w:ascii="Times New Roman" w:hAnsi="Times New Roman"/>
                <w:sz w:val="17"/>
              </w:rPr>
              <w:t>Licensed betting exchange, participant-to-participant, under a state gaming licence</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b/>
                <w:sz w:val="17"/>
              </w:rPr>
              <w:t>excl</w:t>
            </w:r>
          </w:p>
        </w:tc>
        <w:tc>
          <w:tcPr>
            <w:tcW w:type="dxa" w:w="1116"/>
          </w:tcPr>
          <w:p>
            <w:pPr>
              <w:spacing w:after="40" w:before="40"/>
            </w:pPr>
            <w:r/>
            <w:r>
              <w:rPr>
                <w:rFonts w:ascii="Times New Roman" w:hAnsi="Times New Roman"/>
                <w:sz w:val="17"/>
              </w:rPr>
              <w:t>Not covered</w:t>
            </w:r>
          </w:p>
        </w:tc>
      </w:tr>
      <w:tr>
        <w:tc>
          <w:tcPr>
            <w:tcW w:type="dxa" w:w="1116"/>
          </w:tcPr>
          <w:p>
            <w:pPr>
              <w:spacing w:after="40" w:before="40"/>
            </w:pPr>
            <w:r/>
            <w:r>
              <w:rPr>
                <w:rFonts w:ascii="Times New Roman" w:hAnsi="Times New Roman"/>
                <w:sz w:val="17"/>
              </w:rPr>
              <w:t>12</w:t>
            </w:r>
          </w:p>
        </w:tc>
        <w:tc>
          <w:tcPr>
            <w:tcW w:type="dxa" w:w="1116"/>
          </w:tcPr>
          <w:p>
            <w:pPr>
              <w:spacing w:after="40" w:before="40"/>
            </w:pPr>
            <w:r/>
            <w:r>
              <w:rPr>
                <w:rFonts w:ascii="Times New Roman" w:hAnsi="Times New Roman"/>
                <w:sz w:val="17"/>
              </w:rPr>
              <w:t>Crude oil futures contract settling at the price of the commodity, retail participant</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b/>
                <w:sz w:val="17"/>
              </w:rPr>
              <w:t>N</w:t>
            </w:r>
          </w:p>
        </w:tc>
        <w:tc>
          <w:tcPr>
            <w:tcW w:type="dxa" w:w="1116"/>
          </w:tcPr>
          <w:p>
            <w:pPr>
              <w:spacing w:after="40" w:before="40"/>
            </w:pPr>
            <w:r/>
            <w:r>
              <w:rPr>
                <w:rFonts w:ascii="Times New Roman" w:hAnsi="Times New Roman"/>
                <w:sz w:val="17"/>
              </w:rPr>
              <w:t>not reached</w:t>
            </w:r>
          </w:p>
        </w:tc>
        <w:tc>
          <w:tcPr>
            <w:tcW w:type="dxa" w:w="1116"/>
          </w:tcPr>
          <w:p>
            <w:pPr>
              <w:spacing w:after="40" w:before="40"/>
            </w:pPr>
            <w:r/>
            <w:r>
              <w:rPr>
                <w:rFonts w:ascii="Times New Roman" w:hAnsi="Times New Roman"/>
                <w:sz w:val="17"/>
              </w:rPr>
              <w:t>not reached</w:t>
            </w:r>
          </w:p>
        </w:tc>
        <w:tc>
          <w:tcPr>
            <w:tcW w:type="dxa" w:w="1116"/>
          </w:tcPr>
          <w:p>
            <w:pPr>
              <w:spacing w:after="40" w:before="40"/>
            </w:pPr>
            <w:r/>
            <w:r>
              <w:rPr>
                <w:rFonts w:ascii="Times New Roman" w:hAnsi="Times New Roman"/>
                <w:sz w:val="17"/>
              </w:rPr>
              <w:t>none</w:t>
            </w:r>
          </w:p>
        </w:tc>
        <w:tc>
          <w:tcPr>
            <w:tcW w:type="dxa" w:w="1116"/>
          </w:tcPr>
          <w:p>
            <w:pPr>
              <w:spacing w:after="40" w:before="40"/>
            </w:pPr>
            <w:r/>
            <w:r>
              <w:rPr>
                <w:rFonts w:ascii="Times New Roman" w:hAnsi="Times New Roman"/>
                <w:sz w:val="17"/>
              </w:rPr>
              <w:t>Not covered</w:t>
            </w:r>
          </w:p>
        </w:tc>
      </w:tr>
      <w:tr>
        <w:tc>
          <w:tcPr>
            <w:tcW w:type="dxa" w:w="1116"/>
          </w:tcPr>
          <w:p>
            <w:pPr>
              <w:spacing w:after="40" w:before="40"/>
            </w:pPr>
            <w:r/>
            <w:r>
              <w:rPr>
                <w:rFonts w:ascii="Times New Roman" w:hAnsi="Times New Roman"/>
                <w:sz w:val="17"/>
              </w:rPr>
              <w:t>13</w:t>
            </w:r>
          </w:p>
        </w:tc>
        <w:tc>
          <w:tcPr>
            <w:tcW w:type="dxa" w:w="1116"/>
          </w:tcPr>
          <w:p>
            <w:pPr>
              <w:spacing w:after="40" w:before="40"/>
            </w:pPr>
            <w:r/>
            <w:r>
              <w:rPr>
                <w:rFonts w:ascii="Times New Roman" w:hAnsi="Times New Roman"/>
                <w:sz w:val="17"/>
              </w:rPr>
              <w:t>Parametric weather insurance policy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N</w:t>
            </w:r>
          </w:p>
        </w:tc>
        <w:tc>
          <w:tcPr>
            <w:tcW w:type="dxa" w:w="1116"/>
          </w:tcPr>
          <w:p>
            <w:pPr>
              <w:spacing w:after="40" w:before="40"/>
            </w:pPr>
            <w:r/>
            <w:r>
              <w:rPr>
                <w:rFonts w:ascii="Times New Roman" w:hAnsi="Times New Roman"/>
                <w:sz w:val="17"/>
              </w:rPr>
              <w:t>not reached</w:t>
            </w:r>
          </w:p>
        </w:tc>
        <w:tc>
          <w:tcPr>
            <w:tcW w:type="dxa" w:w="1116"/>
          </w:tcPr>
          <w:p>
            <w:pPr>
              <w:spacing w:after="40" w:before="40"/>
            </w:pPr>
            <w:r/>
            <w:r>
              <w:rPr>
                <w:rFonts w:ascii="Times New Roman" w:hAnsi="Times New Roman"/>
                <w:sz w:val="17"/>
              </w:rPr>
              <w:t>excl</w:t>
            </w:r>
          </w:p>
        </w:tc>
        <w:tc>
          <w:tcPr>
            <w:tcW w:type="dxa" w:w="1116"/>
          </w:tcPr>
          <w:p>
            <w:pPr>
              <w:spacing w:after="40" w:before="40"/>
            </w:pPr>
            <w:r/>
            <w:r>
              <w:rPr>
                <w:rFonts w:ascii="Times New Roman" w:hAnsi="Times New Roman"/>
                <w:sz w:val="17"/>
              </w:rPr>
              <w:t>Not covered</w:t>
            </w:r>
          </w:p>
        </w:tc>
      </w:tr>
      <w:tr>
        <w:tc>
          <w:tcPr>
            <w:tcW w:type="dxa" w:w="1116"/>
          </w:tcPr>
          <w:p>
            <w:pPr>
              <w:spacing w:after="40" w:before="40"/>
            </w:pPr>
            <w:r/>
            <w:r>
              <w:rPr>
                <w:rFonts w:ascii="Times New Roman" w:hAnsi="Times New Roman"/>
                <w:sz w:val="17"/>
              </w:rPr>
              <w:t>14</w:t>
            </w:r>
          </w:p>
        </w:tc>
        <w:tc>
          <w:tcPr>
            <w:tcW w:type="dxa" w:w="1116"/>
          </w:tcPr>
          <w:p>
            <w:pPr>
              <w:spacing w:after="40" w:before="40"/>
            </w:pPr>
            <w:r/>
            <w:r>
              <w:rPr>
                <w:rFonts w:ascii="Times New Roman" w:hAnsi="Times New Roman"/>
                <w:sz w:val="17"/>
              </w:rPr>
              <w:t>Contract on the aggregate rate of a specified crime in a geographic area over a year</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Y</w:t>
            </w:r>
          </w:p>
        </w:tc>
        <w:tc>
          <w:tcPr>
            <w:tcW w:type="dxa" w:w="1116"/>
          </w:tcPr>
          <w:p>
            <w:pPr>
              <w:spacing w:after="40" w:before="40"/>
            </w:pPr>
            <w:r/>
            <w:r>
              <w:rPr>
                <w:rFonts w:ascii="Times New Roman" w:hAnsi="Times New Roman"/>
                <w:sz w:val="17"/>
              </w:rPr>
              <w:t>none</w:t>
            </w:r>
          </w:p>
        </w:tc>
        <w:tc>
          <w:tcPr>
            <w:tcW w:type="dxa" w:w="1116"/>
          </w:tcPr>
          <w:p>
            <w:pPr>
              <w:spacing w:after="40" w:before="40"/>
            </w:pPr>
            <w:r/>
            <w:r>
              <w:rPr>
                <w:rFonts w:ascii="Times New Roman" w:hAnsi="Times New Roman"/>
                <w:b/>
                <w:sz w:val="17"/>
              </w:rPr>
              <w:t>Covered</w:t>
            </w:r>
          </w:p>
        </w:tc>
      </w:tr>
    </w:tbl>
    <w:p>
      <w:pPr>
        <w:spacing w:after="80"/>
      </w:pPr>
    </w:p>
    <w:p>
      <w:pPr>
        <w:keepNext/>
        <w:spacing w:before="280" w:after="80"/>
      </w:pPr>
      <w:r>
        <w:rPr>
          <w:rFonts w:ascii="Times New Roman" w:hAnsi="Times New Roman"/>
          <w:b/>
          <w:color w:val="000000"/>
          <w:sz w:val="22"/>
        </w:rPr>
        <w:t>Notes on selected examples</w:t>
      </w:r>
    </w:p>
    <w:p>
      <w:pPr>
        <w:jc w:val="both"/>
      </w:pPr>
      <w:r>
        <w:rPr>
          <w:rFonts w:ascii="Times New Roman" w:hAnsi="Times New Roman"/>
          <w:b/>
          <w:sz w:val="22"/>
        </w:rPr>
        <w:t>Examples 1 and 2.</w:t>
      </w:r>
      <w:r>
        <w:rPr>
          <w:rFonts w:ascii="Times New Roman" w:hAnsi="Times New Roman"/>
          <w:sz w:val="22"/>
        </w:rPr>
        <w:t xml:space="preserve"> The contract forms are those recorded by the court in </w:t>
      </w:r>
      <w:r>
        <w:rPr>
          <w:rFonts w:ascii="Times New Roman" w:hAnsi="Times New Roman"/>
          <w:i/>
          <w:sz w:val="22"/>
        </w:rPr>
        <w:t>Ho-Chunk Nation v. Kalshi Inc.</w:t>
      </w:r>
      <w:r>
        <w:rPr>
          <w:rFonts w:ascii="Times New Roman" w:hAnsi="Times New Roman"/>
          <w:sz w:val="22"/>
        </w:rPr>
        <w:t>, No. 25-cv-698-wmc (W.D. Wis. May 11, 2026), at 6. Example 2 would additionally be a negative factor under proposed 17 C.F.R. § 40.11(a)(6)(iii)(B)(4) as a contract settling solely by reference to a discrete action in a game.</w:t>
      </w:r>
    </w:p>
    <w:p>
      <w:pPr>
        <w:jc w:val="both"/>
      </w:pPr>
      <w:r>
        <w:rPr>
          <w:rFonts w:ascii="Times New Roman" w:hAnsi="Times New Roman"/>
          <w:b/>
          <w:sz w:val="22"/>
        </w:rPr>
        <w:t>Example 3.</w:t>
      </w:r>
      <w:r>
        <w:rPr>
          <w:rFonts w:ascii="Times New Roman" w:hAnsi="Times New Roman"/>
          <w:sz w:val="22"/>
        </w:rPr>
        <w:t xml:space="preserve"> Under the Commission's proposed rule an election contract is not gaming, and so falls outside the Special Rule entirely. It is a covered contract under these Standards nonetheless. The participant's exposure is identical in kind to example 1, and the justification for exclusion, limits, and disclosure does not depend on whether the underlying activity is played for recreation. This divergence is deliberate and is the clearest illustration of why § 104 is drafted independently of the gaming question.</w:t>
      </w:r>
    </w:p>
    <w:p>
      <w:pPr>
        <w:jc w:val="both"/>
      </w:pPr>
      <w:r>
        <w:rPr>
          <w:rFonts w:ascii="Times New Roman" w:hAnsi="Times New Roman"/>
          <w:b/>
          <w:sz w:val="22"/>
        </w:rPr>
        <w:t>Example 4.</w:t>
      </w:r>
      <w:r>
        <w:rPr>
          <w:rFonts w:ascii="Times New Roman" w:hAnsi="Times New Roman"/>
          <w:sz w:val="22"/>
        </w:rPr>
        <w:t xml:space="preserve"> These are the facts of </w:t>
      </w:r>
      <w:r>
        <w:rPr>
          <w:rFonts w:ascii="Times New Roman" w:hAnsi="Times New Roman"/>
          <w:i/>
          <w:sz w:val="22"/>
        </w:rPr>
        <w:t>In re Santos</w:t>
      </w:r>
      <w:r>
        <w:rPr>
          <w:rFonts w:ascii="Times New Roman" w:hAnsi="Times New Roman"/>
          <w:sz w:val="22"/>
        </w:rPr>
        <w:t>, CFTC Docket No. 26-05 (July 31, 2026). Under these Standards the contract is covered, and PMCPS-M § 402 would have required the operator to identify the respondent as an influencing person and restrict him before he traded, rather than leaving the matter to enforcement five months after settlement.</w:t>
      </w:r>
    </w:p>
    <w:p>
      <w:pPr>
        <w:jc w:val="both"/>
      </w:pPr>
      <w:r>
        <w:rPr>
          <w:rFonts w:ascii="Times New Roman" w:hAnsi="Times New Roman"/>
          <w:b/>
          <w:sz w:val="22"/>
        </w:rPr>
        <w:t>Example 5.</w:t>
      </w:r>
      <w:r>
        <w:rPr>
          <w:rFonts w:ascii="Times New Roman" w:hAnsi="Times New Roman"/>
          <w:sz w:val="22"/>
        </w:rPr>
        <w:t xml:space="preserve"> The hardest case. The contract satisfies Gate 2 because it settles on whether a threshold is crossed, which is a discrete occurrence, while the futures contract in example 12 settles at the level itself and is excluded by § 104(d)(1). The line is real but narrow, and comment is invited under Appendix C item 1.</w:t>
      </w:r>
    </w:p>
    <w:p>
      <w:pPr>
        <w:jc w:val="both"/>
      </w:pPr>
      <w:r>
        <w:rPr>
          <w:rFonts w:ascii="Times New Roman" w:hAnsi="Times New Roman"/>
          <w:b/>
          <w:sz w:val="22"/>
        </w:rPr>
        <w:t>Examples 7 and 8 are the control cases.</w:t>
      </w:r>
      <w:r>
        <w:rPr>
          <w:rFonts w:ascii="Times New Roman" w:hAnsi="Times New Roman"/>
          <w:sz w:val="22"/>
        </w:rPr>
        <w:t xml:space="preserve"> A traditional regulated sports wager is outside these Standards for two independent reasons. It fails Gate 3, because the payout is fixed when the bet is placed and the bettor cannot sell the position to another participant. A cash-out offer does not change that result: the price is set unilaterally by the house under § 104(e)(1), not established by trading. It is separately excluded under Gate 5, because a licensed sportsbook already operates under a gaming framework imposing exclusion, limits, and problem gambling requirements. Either ground alone is sufficient.</w:t>
      </w:r>
    </w:p>
    <w:p>
      <w:pPr>
        <w:jc w:val="both"/>
      </w:pPr>
      <w:r>
        <w:rPr>
          <w:rFonts w:ascii="Times New Roman" w:hAnsi="Times New Roman"/>
          <w:b/>
          <w:sz w:val="22"/>
        </w:rPr>
        <w:t>Example 11.</w:t>
      </w:r>
      <w:r>
        <w:rPr>
          <w:rFonts w:ascii="Times New Roman" w:hAnsi="Times New Roman"/>
          <w:sz w:val="22"/>
        </w:rPr>
        <w:t xml:space="preserve"> A participant-to-participant betting exchange satisfies Gate 3, which is why Gate 5 is necessary. Where the exchange holds a gaming licence carrying equivalent requirements, these Standards do not apply. Where it does not, they do.</w:t>
      </w:r>
    </w:p>
    <w:p>
      <w:pPr>
        <w:jc w:val="both"/>
      </w:pPr>
      <w:r>
        <w:rPr>
          <w:rFonts w:ascii="Times New Roman" w:hAnsi="Times New Roman"/>
          <w:b/>
          <w:sz w:val="22"/>
        </w:rPr>
        <w:t>Example 14.</w:t>
      </w:r>
      <w:r>
        <w:rPr>
          <w:rFonts w:ascii="Times New Roman" w:hAnsi="Times New Roman"/>
          <w:sz w:val="22"/>
        </w:rPr>
        <w:t xml:space="preserve"> Included because the Commission has proposed that contracts on aggregate crime rates over extended periods weigh against a public interest finding under proposed 17 C.F.R. § 40.11(a)(6)(i)(C). A contract may be permissible to list and still expose a retail participant to the harms these Standards address. Permission to list and adequacy of consumer protection are separate questions.</w:t>
      </w:r>
    </w:p>
    <w:p>
      <w:r>
        <w:br w:type="page"/>
      </w:r>
    </w:p>
    <w:p>
      <w:pPr>
        <w:spacing w:after="40"/>
      </w:pPr>
      <w:r>
        <w:rPr>
          <w:rFonts w:ascii="Calibri" w:hAnsi="Calibri"/>
          <w:b/>
          <w:color w:val="143C46"/>
          <w:sz w:val="18"/>
        </w:rPr>
        <w:t>APPENDIX B</w:t>
      </w:r>
    </w:p>
    <w:p>
      <w:pPr>
        <w:pStyle w:val="Heading1"/>
        <w:spacing w:before="0"/>
        <w:pBdr>
          <w:bottom w:val="single" w:sz="8" w:space="6" w:color="143C46"/>
        </w:pBdr>
      </w:pPr>
      <w:r>
        <w:rPr>
          <w:rFonts w:ascii="Times New Roman" w:hAnsi="Times New Roman"/>
          <w:b/>
          <w:color w:val="000000"/>
          <w:sz w:val="30"/>
        </w:rPr>
        <w:t>Comparison with Classification Tests Under Applicable Law</w:t>
      </w:r>
    </w:p>
    <w:tbl>
      <w:tblPr>
        <w:tblStyle w:val="TableGrid"/>
        <w:tblW w:type="auto" w:w="0"/>
        <w:jc w:val="center"/>
        <w:tblLayout w:type="autofit"/>
        <w:tblLook w:firstColumn="1" w:firstRow="1" w:lastColumn="0" w:lastRow="0" w:noHBand="0" w:noVBand="1" w:val="04A0"/>
      </w:tblPr>
      <w:tblGrid>
        <w:gridCol w:w="1786"/>
        <w:gridCol w:w="1786"/>
        <w:gridCol w:w="1786"/>
        <w:gridCol w:w="1786"/>
        <w:gridCol w:w="1786"/>
      </w:tblGrid>
      <w:tr>
        <w:tc>
          <w:tcPr>
            <w:tcW w:type="dxa" w:w="1786"/>
            <w:shd w:val="clear" w:color="auto" w:fill="E8ECEE"/>
          </w:tcPr>
          <w:p>
            <w:pPr>
              <w:spacing w:after="40" w:before="40"/>
            </w:pPr>
            <w:r/>
            <w:r>
              <w:rPr>
                <w:rFonts w:ascii="Calibri" w:hAnsi="Calibri"/>
                <w:b/>
                <w:sz w:val="16"/>
              </w:rPr>
              <w:t>Test</w:t>
            </w:r>
          </w:p>
        </w:tc>
        <w:tc>
          <w:tcPr>
            <w:tcW w:type="dxa" w:w="1786"/>
            <w:shd w:val="clear" w:color="auto" w:fill="E8ECEE"/>
          </w:tcPr>
          <w:p>
            <w:pPr>
              <w:spacing w:after="40" w:before="40"/>
            </w:pPr>
            <w:r/>
            <w:r>
              <w:rPr>
                <w:rFonts w:ascii="Calibri" w:hAnsi="Calibri"/>
                <w:b/>
                <w:sz w:val="16"/>
              </w:rPr>
              <w:t>Source</w:t>
            </w:r>
          </w:p>
        </w:tc>
        <w:tc>
          <w:tcPr>
            <w:tcW w:type="dxa" w:w="1786"/>
            <w:shd w:val="clear" w:color="auto" w:fill="E8ECEE"/>
          </w:tcPr>
          <w:p>
            <w:pPr>
              <w:spacing w:after="40" w:before="40"/>
            </w:pPr>
            <w:r/>
            <w:r>
              <w:rPr>
                <w:rFonts w:ascii="Calibri" w:hAnsi="Calibri"/>
                <w:b/>
                <w:sz w:val="16"/>
              </w:rPr>
              <w:t>Elements</w:t>
            </w:r>
          </w:p>
        </w:tc>
        <w:tc>
          <w:tcPr>
            <w:tcW w:type="dxa" w:w="1786"/>
            <w:shd w:val="clear" w:color="auto" w:fill="E8ECEE"/>
          </w:tcPr>
          <w:p>
            <w:pPr>
              <w:spacing w:after="40" w:before="40"/>
            </w:pPr>
            <w:r/>
            <w:r>
              <w:rPr>
                <w:rFonts w:ascii="Calibri" w:hAnsi="Calibri"/>
                <w:b/>
                <w:sz w:val="16"/>
              </w:rPr>
              <w:t>Determines</w:t>
            </w:r>
          </w:p>
        </w:tc>
        <w:tc>
          <w:tcPr>
            <w:tcW w:type="dxa" w:w="1786"/>
            <w:shd w:val="clear" w:color="auto" w:fill="E8ECEE"/>
          </w:tcPr>
          <w:p>
            <w:pPr>
              <w:spacing w:after="40" w:before="40"/>
            </w:pPr>
            <w:r/>
            <w:r>
              <w:rPr>
                <w:rFonts w:ascii="Calibri" w:hAnsi="Calibri"/>
                <w:b/>
                <w:sz w:val="16"/>
              </w:rPr>
              <w:t>Relationship to § 104</w:t>
            </w:r>
          </w:p>
        </w:tc>
      </w:tr>
      <w:tr>
        <w:tc>
          <w:tcPr>
            <w:tcW w:type="dxa" w:w="1786"/>
          </w:tcPr>
          <w:p>
            <w:pPr>
              <w:spacing w:after="40" w:before="40"/>
            </w:pPr>
            <w:r/>
            <w:r>
              <w:rPr>
                <w:rFonts w:ascii="Times New Roman" w:hAnsi="Times New Roman"/>
                <w:b/>
                <w:sz w:val="17"/>
              </w:rPr>
              <w:t>PMCPS-C § 104</w:t>
            </w:r>
          </w:p>
        </w:tc>
        <w:tc>
          <w:tcPr>
            <w:tcW w:type="dxa" w:w="1786"/>
          </w:tcPr>
          <w:p>
            <w:pPr>
              <w:spacing w:after="40" w:before="40"/>
            </w:pPr>
            <w:r/>
            <w:r>
              <w:rPr>
                <w:rFonts w:ascii="Times New Roman" w:hAnsi="Times New Roman"/>
                <w:sz w:val="17"/>
              </w:rPr>
              <w:t>This standard</w:t>
            </w:r>
          </w:p>
        </w:tc>
        <w:tc>
          <w:tcPr>
            <w:tcW w:type="dxa" w:w="1786"/>
          </w:tcPr>
          <w:p>
            <w:pPr>
              <w:spacing w:after="40" w:before="40"/>
            </w:pPr>
            <w:r/>
            <w:r>
              <w:rPr>
                <w:rFonts w:ascii="Times New Roman" w:hAnsi="Times New Roman"/>
                <w:sz w:val="17"/>
              </w:rPr>
              <w:t>Stake; discrete exogenous outcome; transferable position at a market-determined value; no hedging nexus; no exclusion</w:t>
            </w:r>
          </w:p>
        </w:tc>
        <w:tc>
          <w:tcPr>
            <w:tcW w:type="dxa" w:w="1786"/>
          </w:tcPr>
          <w:p>
            <w:pPr>
              <w:spacing w:after="40" w:before="40"/>
            </w:pPr>
            <w:r/>
            <w:r>
              <w:rPr>
                <w:rFonts w:ascii="Times New Roman" w:hAnsi="Times New Roman"/>
                <w:sz w:val="17"/>
              </w:rPr>
              <w:t>Whether the PMCPS family applies</w:t>
            </w:r>
          </w:p>
        </w:tc>
        <w:tc>
          <w:tcPr>
            <w:tcW w:type="dxa" w:w="1786"/>
          </w:tcPr>
          <w:p>
            <w:pPr>
              <w:spacing w:after="40" w:before="40"/>
            </w:pPr>
            <w:r/>
            <w:r>
              <w:rPr>
                <w:rFonts w:ascii="Times New Roman" w:hAnsi="Times New Roman"/>
                <w:sz w:val="17"/>
              </w:rPr>
              <w:t>Reference test</w:t>
            </w:r>
          </w:p>
        </w:tc>
      </w:tr>
      <w:tr>
        <w:tc>
          <w:tcPr>
            <w:tcW w:type="dxa" w:w="1786"/>
          </w:tcPr>
          <w:p>
            <w:pPr>
              <w:spacing w:after="40" w:before="40"/>
            </w:pPr>
            <w:r/>
            <w:r>
              <w:rPr>
                <w:rFonts w:ascii="Times New Roman" w:hAnsi="Times New Roman"/>
                <w:sz w:val="17"/>
              </w:rPr>
              <w:t>Gaming</w:t>
            </w:r>
          </w:p>
        </w:tc>
        <w:tc>
          <w:tcPr>
            <w:tcW w:type="dxa" w:w="1786"/>
          </w:tcPr>
          <w:p>
            <w:pPr>
              <w:spacing w:after="40" w:before="40"/>
            </w:pPr>
            <w:r/>
            <w:r>
              <w:rPr>
                <w:rFonts w:ascii="Times New Roman" w:hAnsi="Times New Roman"/>
                <w:sz w:val="17"/>
              </w:rPr>
              <w:t>Proposed 17 C.F.R. § 40.11(b)(1)</w:t>
            </w:r>
          </w:p>
        </w:tc>
        <w:tc>
          <w:tcPr>
            <w:tcW w:type="dxa" w:w="1786"/>
          </w:tcPr>
          <w:p>
            <w:pPr>
              <w:spacing w:after="40" w:before="40"/>
            </w:pPr>
            <w:r/>
            <w:r>
              <w:rPr>
                <w:rFonts w:ascii="Times New Roman" w:hAnsi="Times New Roman"/>
                <w:sz w:val="17"/>
              </w:rPr>
              <w:t>Typically engaged in for recreation or to entertain others; governed by rules; measurable outcomes depending on luck, skill, or athletic ability</w:t>
            </w:r>
          </w:p>
        </w:tc>
        <w:tc>
          <w:tcPr>
            <w:tcW w:type="dxa" w:w="1786"/>
          </w:tcPr>
          <w:p>
            <w:pPr>
              <w:spacing w:after="40" w:before="40"/>
            </w:pPr>
            <w:r/>
            <w:r>
              <w:rPr>
                <w:rFonts w:ascii="Times New Roman" w:hAnsi="Times New Roman"/>
                <w:sz w:val="17"/>
              </w:rPr>
              <w:t>Whether the Commission may find a contract contrary to the public interest</w:t>
            </w:r>
          </w:p>
        </w:tc>
        <w:tc>
          <w:tcPr>
            <w:tcW w:type="dxa" w:w="1786"/>
          </w:tcPr>
          <w:p>
            <w:pPr>
              <w:spacing w:after="40" w:before="40"/>
            </w:pPr>
            <w:r/>
            <w:r>
              <w:rPr>
                <w:rFonts w:ascii="Times New Roman" w:hAnsi="Times New Roman"/>
                <w:sz w:val="17"/>
              </w:rPr>
              <w:t>Narrower. Excludes elections and economic indicators, which § 104 covers</w:t>
            </w:r>
          </w:p>
        </w:tc>
      </w:tr>
      <w:tr>
        <w:tc>
          <w:tcPr>
            <w:tcW w:type="dxa" w:w="1786"/>
          </w:tcPr>
          <w:p>
            <w:pPr>
              <w:spacing w:after="40" w:before="40"/>
            </w:pPr>
            <w:r/>
            <w:r>
              <w:rPr>
                <w:rFonts w:ascii="Times New Roman" w:hAnsi="Times New Roman"/>
                <w:sz w:val="17"/>
              </w:rPr>
              <w:t>Involvement</w:t>
            </w:r>
          </w:p>
        </w:tc>
        <w:tc>
          <w:tcPr>
            <w:tcW w:type="dxa" w:w="1786"/>
          </w:tcPr>
          <w:p>
            <w:pPr>
              <w:spacing w:after="40" w:before="40"/>
            </w:pPr>
            <w:r/>
            <w:r>
              <w:rPr>
                <w:rFonts w:ascii="Times New Roman" w:hAnsi="Times New Roman"/>
                <w:sz w:val="17"/>
              </w:rPr>
              <w:t>Proposed 17 C.F.R. § 40.11(a)(3)</w:t>
            </w:r>
          </w:p>
        </w:tc>
        <w:tc>
          <w:tcPr>
            <w:tcW w:type="dxa" w:w="1786"/>
          </w:tcPr>
          <w:p>
            <w:pPr>
              <w:spacing w:after="40" w:before="40"/>
            </w:pPr>
            <w:r/>
            <w:r>
              <w:rPr>
                <w:rFonts w:ascii="Times New Roman" w:hAnsi="Times New Roman"/>
                <w:sz w:val="17"/>
              </w:rPr>
              <w:t>Settlement determined by an occurrence or contingency in the activity</w:t>
            </w:r>
          </w:p>
        </w:tc>
        <w:tc>
          <w:tcPr>
            <w:tcW w:type="dxa" w:w="1786"/>
          </w:tcPr>
          <w:p>
            <w:pPr>
              <w:spacing w:after="40" w:before="40"/>
            </w:pPr>
            <w:r/>
            <w:r>
              <w:rPr>
                <w:rFonts w:ascii="Times New Roman" w:hAnsi="Times New Roman"/>
                <w:sz w:val="17"/>
              </w:rPr>
              <w:t>Whether a contract involves an enumerated activity</w:t>
            </w:r>
          </w:p>
        </w:tc>
        <w:tc>
          <w:tcPr>
            <w:tcW w:type="dxa" w:w="1786"/>
          </w:tcPr>
          <w:p>
            <w:pPr>
              <w:spacing w:after="40" w:before="40"/>
            </w:pPr>
            <w:r/>
            <w:r>
              <w:rPr>
                <w:rFonts w:ascii="Times New Roman" w:hAnsi="Times New Roman"/>
                <w:sz w:val="17"/>
              </w:rPr>
              <w:t>Similar in mechanism to Gate 2, applied to a different question</w:t>
            </w:r>
          </w:p>
        </w:tc>
      </w:tr>
      <w:tr>
        <w:tc>
          <w:tcPr>
            <w:tcW w:type="dxa" w:w="1786"/>
          </w:tcPr>
          <w:p>
            <w:pPr>
              <w:spacing w:after="40" w:before="40"/>
            </w:pPr>
            <w:r/>
            <w:r>
              <w:rPr>
                <w:rFonts w:ascii="Times New Roman" w:hAnsi="Times New Roman"/>
                <w:sz w:val="17"/>
              </w:rPr>
              <w:t>Bet or wager</w:t>
            </w:r>
          </w:p>
        </w:tc>
        <w:tc>
          <w:tcPr>
            <w:tcW w:type="dxa" w:w="1786"/>
          </w:tcPr>
          <w:p>
            <w:pPr>
              <w:spacing w:after="40" w:before="40"/>
            </w:pPr>
            <w:r/>
            <w:r>
              <w:rPr>
                <w:rFonts w:ascii="Times New Roman" w:hAnsi="Times New Roman"/>
                <w:sz w:val="17"/>
              </w:rPr>
              <w:t>31 U.S.C. § 5362(1)(A), (E)(ii)</w:t>
            </w:r>
          </w:p>
        </w:tc>
        <w:tc>
          <w:tcPr>
            <w:tcW w:type="dxa" w:w="1786"/>
          </w:tcPr>
          <w:p>
            <w:pPr>
              <w:spacing w:after="40" w:before="40"/>
            </w:pPr>
            <w:r/>
            <w:r>
              <w:rPr>
                <w:rFonts w:ascii="Times New Roman" w:hAnsi="Times New Roman"/>
                <w:sz w:val="17"/>
              </w:rPr>
              <w:t>Staking value on the outcome of a contest, sporting event, or game of chance, with a contingent return; excludes transactions on a registered entity</w:t>
            </w:r>
          </w:p>
        </w:tc>
        <w:tc>
          <w:tcPr>
            <w:tcW w:type="dxa" w:w="1786"/>
          </w:tcPr>
          <w:p>
            <w:pPr>
              <w:spacing w:after="40" w:before="40"/>
            </w:pPr>
            <w:r/>
            <w:r>
              <w:rPr>
                <w:rFonts w:ascii="Times New Roman" w:hAnsi="Times New Roman"/>
                <w:sz w:val="17"/>
              </w:rPr>
              <w:t>Reach of a payment-processing statute</w:t>
            </w:r>
          </w:p>
        </w:tc>
        <w:tc>
          <w:tcPr>
            <w:tcW w:type="dxa" w:w="1786"/>
          </w:tcPr>
          <w:p>
            <w:pPr>
              <w:spacing w:after="40" w:before="40"/>
            </w:pPr>
            <w:r/>
            <w:r>
              <w:rPr>
                <w:rFonts w:ascii="Times New Roman" w:hAnsi="Times New Roman"/>
                <w:sz w:val="17"/>
              </w:rPr>
              <w:t>Broader in form, narrower in effect. The registered-entity exclusion removes the products § 104 is most concerned with</w:t>
            </w:r>
          </w:p>
        </w:tc>
      </w:tr>
      <w:tr>
        <w:tc>
          <w:tcPr>
            <w:tcW w:type="dxa" w:w="1786"/>
          </w:tcPr>
          <w:p>
            <w:pPr>
              <w:spacing w:after="40" w:before="40"/>
            </w:pPr>
            <w:r/>
            <w:r>
              <w:rPr>
                <w:rFonts w:ascii="Times New Roman" w:hAnsi="Times New Roman"/>
                <w:sz w:val="17"/>
              </w:rPr>
              <w:t>Excluded commodity</w:t>
            </w:r>
          </w:p>
        </w:tc>
        <w:tc>
          <w:tcPr>
            <w:tcW w:type="dxa" w:w="1786"/>
          </w:tcPr>
          <w:p>
            <w:pPr>
              <w:spacing w:after="40" w:before="40"/>
            </w:pPr>
            <w:r/>
            <w:r>
              <w:rPr>
                <w:rFonts w:ascii="Times New Roman" w:hAnsi="Times New Roman"/>
                <w:sz w:val="17"/>
              </w:rPr>
              <w:t>7 U.S.C. § 1a(19)(iv)</w:t>
            </w:r>
          </w:p>
        </w:tc>
        <w:tc>
          <w:tcPr>
            <w:tcW w:type="dxa" w:w="1786"/>
          </w:tcPr>
          <w:p>
            <w:pPr>
              <w:spacing w:after="40" w:before="40"/>
            </w:pPr>
            <w:r/>
            <w:r>
              <w:rPr>
                <w:rFonts w:ascii="Times New Roman" w:hAnsi="Times New Roman"/>
                <w:sz w:val="17"/>
              </w:rPr>
              <w:t xml:space="preserve">Beyond the control of the parties; </w:t>
            </w:r>
            <w:r>
              <w:rPr>
                <w:rFonts w:ascii="Times New Roman" w:hAnsi="Times New Roman"/>
                <w:b/>
                <w:sz w:val="17"/>
              </w:rPr>
              <w:t>and</w:t>
            </w:r>
            <w:r>
              <w:rPr>
                <w:rFonts w:ascii="Times New Roman" w:hAnsi="Times New Roman"/>
                <w:sz w:val="17"/>
              </w:rPr>
              <w:t xml:space="preserve"> associated with a financial, commercial, or economic consequence</w:t>
            </w:r>
          </w:p>
        </w:tc>
        <w:tc>
          <w:tcPr>
            <w:tcW w:type="dxa" w:w="1786"/>
          </w:tcPr>
          <w:p>
            <w:pPr>
              <w:spacing w:after="40" w:before="40"/>
            </w:pPr>
            <w:r/>
            <w:r>
              <w:rPr>
                <w:rFonts w:ascii="Times New Roman" w:hAnsi="Times New Roman"/>
                <w:sz w:val="17"/>
              </w:rPr>
              <w:t>Commission subject matter reach</w:t>
            </w:r>
          </w:p>
        </w:tc>
        <w:tc>
          <w:tcPr>
            <w:tcW w:type="dxa" w:w="1786"/>
          </w:tcPr>
          <w:p>
            <w:pPr>
              <w:spacing w:after="40" w:before="40"/>
            </w:pPr>
            <w:r/>
            <w:r>
              <w:rPr>
                <w:rFonts w:ascii="Times New Roman" w:hAnsi="Times New Roman"/>
                <w:sz w:val="17"/>
              </w:rPr>
              <w:t>Both elements required. § 104 does not require an economic consequence</w:t>
            </w:r>
          </w:p>
        </w:tc>
      </w:tr>
      <w:tr>
        <w:tc>
          <w:tcPr>
            <w:tcW w:type="dxa" w:w="1786"/>
          </w:tcPr>
          <w:p>
            <w:pPr>
              <w:spacing w:after="40" w:before="40"/>
            </w:pPr>
            <w:r/>
            <w:r>
              <w:rPr>
                <w:rFonts w:ascii="Times New Roman" w:hAnsi="Times New Roman"/>
                <w:sz w:val="17"/>
              </w:rPr>
              <w:t>Class III gaming</w:t>
            </w:r>
          </w:p>
        </w:tc>
        <w:tc>
          <w:tcPr>
            <w:tcW w:type="dxa" w:w="1786"/>
          </w:tcPr>
          <w:p>
            <w:pPr>
              <w:spacing w:after="40" w:before="40"/>
            </w:pPr>
            <w:r/>
            <w:r>
              <w:rPr>
                <w:rFonts w:ascii="Times New Roman" w:hAnsi="Times New Roman"/>
                <w:sz w:val="17"/>
              </w:rPr>
              <w:t>25 C.F.R. § 502.4</w:t>
            </w:r>
          </w:p>
        </w:tc>
        <w:tc>
          <w:tcPr>
            <w:tcW w:type="dxa" w:w="1786"/>
          </w:tcPr>
          <w:p>
            <w:pPr>
              <w:spacing w:after="40" w:before="40"/>
            </w:pPr>
            <w:r/>
            <w:r>
              <w:rPr>
                <w:rFonts w:ascii="Times New Roman" w:hAnsi="Times New Roman"/>
                <w:sz w:val="17"/>
              </w:rPr>
              <w:t>Residual: all gaming that is not class I or class II, expressly including any sports betting</w:t>
            </w:r>
          </w:p>
        </w:tc>
        <w:tc>
          <w:tcPr>
            <w:tcW w:type="dxa" w:w="1786"/>
          </w:tcPr>
          <w:p>
            <w:pPr>
              <w:spacing w:after="40" w:before="40"/>
            </w:pPr>
            <w:r/>
            <w:r>
              <w:rPr>
                <w:rFonts w:ascii="Times New Roman" w:hAnsi="Times New Roman"/>
                <w:sz w:val="17"/>
              </w:rPr>
              <w:t>Whether a compact is required for conduct on Indian lands</w:t>
            </w:r>
          </w:p>
        </w:tc>
        <w:tc>
          <w:tcPr>
            <w:tcW w:type="dxa" w:w="1786"/>
          </w:tcPr>
          <w:p>
            <w:pPr>
              <w:spacing w:after="40" w:before="40"/>
            </w:pPr>
            <w:r/>
            <w:r>
              <w:rPr>
                <w:rFonts w:ascii="Times New Roman" w:hAnsi="Times New Roman"/>
                <w:sz w:val="17"/>
              </w:rPr>
              <w:t>Turns on the character of the activity, not the participant's exposure</w:t>
            </w:r>
          </w:p>
        </w:tc>
      </w:tr>
      <w:tr>
        <w:tc>
          <w:tcPr>
            <w:tcW w:type="dxa" w:w="1786"/>
          </w:tcPr>
          <w:p>
            <w:pPr>
              <w:spacing w:after="40" w:before="40"/>
            </w:pPr>
            <w:r/>
            <w:r>
              <w:rPr>
                <w:rFonts w:ascii="Times New Roman" w:hAnsi="Times New Roman"/>
                <w:sz w:val="17"/>
              </w:rPr>
              <w:t>Sports gaming</w:t>
            </w:r>
          </w:p>
        </w:tc>
        <w:tc>
          <w:tcPr>
            <w:tcW w:type="dxa" w:w="1786"/>
          </w:tcPr>
          <w:p>
            <w:pPr>
              <w:spacing w:after="40" w:before="40"/>
            </w:pPr>
            <w:r/>
            <w:r>
              <w:rPr>
                <w:rFonts w:ascii="Times New Roman" w:hAnsi="Times New Roman"/>
                <w:sz w:val="17"/>
              </w:rPr>
              <w:t>Ohio Rev. Code § 3775.01(O)</w:t>
            </w:r>
          </w:p>
        </w:tc>
        <w:tc>
          <w:tcPr>
            <w:tcW w:type="dxa" w:w="1786"/>
          </w:tcPr>
          <w:p>
            <w:pPr>
              <w:spacing w:after="40" w:before="40"/>
            </w:pPr>
            <w:r/>
            <w:r>
              <w:rPr>
                <w:rFonts w:ascii="Times New Roman" w:hAnsi="Times New Roman"/>
                <w:sz w:val="17"/>
              </w:rPr>
              <w:t>Accepting wagers on sporting events, expressly including exchange wagering</w:t>
            </w:r>
          </w:p>
        </w:tc>
        <w:tc>
          <w:tcPr>
            <w:tcW w:type="dxa" w:w="1786"/>
          </w:tcPr>
          <w:p>
            <w:pPr>
              <w:spacing w:after="40" w:before="40"/>
            </w:pPr>
            <w:r/>
            <w:r>
              <w:rPr>
                <w:rFonts w:ascii="Times New Roman" w:hAnsi="Times New Roman"/>
                <w:sz w:val="17"/>
              </w:rPr>
              <w:t>State licensing</w:t>
            </w:r>
          </w:p>
        </w:tc>
        <w:tc>
          <w:tcPr>
            <w:tcW w:type="dxa" w:w="1786"/>
          </w:tcPr>
          <w:p>
            <w:pPr>
              <w:spacing w:after="40" w:before="40"/>
            </w:pPr>
            <w:r/>
            <w:r>
              <w:rPr>
                <w:rFonts w:ascii="Times New Roman" w:hAnsi="Times New Roman"/>
                <w:sz w:val="17"/>
              </w:rPr>
              <w:t>Reaches exchange structure, as Gate 3 does, but only for sporting events</w:t>
            </w:r>
          </w:p>
        </w:tc>
      </w:tr>
    </w:tbl>
    <w:p>
      <w:pPr>
        <w:spacing w:after="80"/>
      </w:pPr>
    </w:p>
    <w:p>
      <w:pPr>
        <w:keepNext/>
        <w:spacing w:before="280" w:after="80"/>
      </w:pPr>
      <w:r>
        <w:rPr>
          <w:rFonts w:ascii="Times New Roman" w:hAnsi="Times New Roman"/>
          <w:b/>
          <w:color w:val="000000"/>
          <w:sz w:val="22"/>
        </w:rPr>
        <w:t>Where the tests diverge, and why</w:t>
      </w:r>
    </w:p>
    <w:p>
      <w:pPr>
        <w:jc w:val="both"/>
      </w:pPr>
      <w:r>
        <w:rPr>
          <w:rFonts w:ascii="Times New Roman" w:hAnsi="Times New Roman"/>
          <w:b/>
          <w:sz w:val="22"/>
        </w:rPr>
        <w:t>Elections.</w:t>
      </w:r>
      <w:r>
        <w:rPr>
          <w:rFonts w:ascii="Times New Roman" w:hAnsi="Times New Roman"/>
          <w:sz w:val="22"/>
        </w:rPr>
        <w:t xml:space="preserve"> A contract on the winner of a political election falls outside the proposed gaming definition, because an election is not conducted for recreation. It is a covered contract under § 104. The participant's exposure is the same as on a sports contract, and the case for exclusion, limits, and disclosure does not depend on why the underlying activity is held.</w:t>
      </w:r>
    </w:p>
    <w:p>
      <w:pPr>
        <w:jc w:val="both"/>
      </w:pPr>
      <w:r>
        <w:rPr>
          <w:rFonts w:ascii="Times New Roman" w:hAnsi="Times New Roman"/>
          <w:b/>
          <w:sz w:val="22"/>
        </w:rPr>
        <w:t>Licensed sports betting.</w:t>
      </w:r>
      <w:r>
        <w:rPr>
          <w:rFonts w:ascii="Times New Roman" w:hAnsi="Times New Roman"/>
          <w:sz w:val="22"/>
        </w:rPr>
        <w:t xml:space="preserve"> A fixed-odds wager at a licensed sportsbook is class III gaming, is a bet or wager, and is sports gaming under Ohio law. It is </w:t>
      </w:r>
      <w:r>
        <w:rPr>
          <w:rFonts w:ascii="Times New Roman" w:hAnsi="Times New Roman"/>
          <w:b/>
          <w:sz w:val="22"/>
        </w:rPr>
        <w:t>not</w:t>
      </w:r>
      <w:r>
        <w:rPr>
          <w:rFonts w:ascii="Times New Roman" w:hAnsi="Times New Roman"/>
          <w:sz w:val="22"/>
        </w:rPr>
        <w:t xml:space="preserve"> a covered contract under § 104, because it fails Gate 3 and is separately excluded under Gate 5. The protections already apply to it under a gaming licence.</w:t>
      </w:r>
    </w:p>
    <w:p>
      <w:pPr>
        <w:jc w:val="both"/>
      </w:pPr>
      <w:r>
        <w:rPr>
          <w:rFonts w:ascii="Times New Roman" w:hAnsi="Times New Roman"/>
          <w:b/>
          <w:sz w:val="22"/>
        </w:rPr>
        <w:t>Commodity futures.</w:t>
      </w:r>
      <w:r>
        <w:rPr>
          <w:rFonts w:ascii="Times New Roman" w:hAnsi="Times New Roman"/>
          <w:sz w:val="22"/>
        </w:rPr>
        <w:t xml:space="preserve"> A futures contract settling at the price of a commodity is within the Commission's reach and is not gaming. It is not a covered contract, because it fails Gate 2 under § 104(d)(1).</w:t>
      </w:r>
    </w:p>
    <w:p>
      <w:pPr>
        <w:jc w:val="both"/>
      </w:pPr>
      <w:r>
        <w:rPr>
          <w:rFonts w:ascii="Times New Roman" w:hAnsi="Times New Roman"/>
          <w:b/>
          <w:sz w:val="22"/>
        </w:rPr>
        <w:t>The pattern.</w:t>
      </w:r>
      <w:r>
        <w:rPr>
          <w:rFonts w:ascii="Times New Roman" w:hAnsi="Times New Roman"/>
          <w:sz w:val="22"/>
        </w:rPr>
        <w:t xml:space="preserve"> The tests under applicable law sort products by the character of the underlying activity and by which sovereign may act. Section 104 sorts them by whether a retail participant bears an unhedged, transferable, event-contingent exposure that no gaming regulator is currently supervising. Those are different sorting criteria, and they should not be expected to agree.</w:t>
      </w:r>
    </w:p>
    <w:p>
      <w:r>
        <w:br w:type="page"/>
      </w:r>
    </w:p>
    <w:p>
      <w:pPr>
        <w:spacing w:after="40"/>
      </w:pPr>
      <w:r>
        <w:rPr>
          <w:rFonts w:ascii="Calibri" w:hAnsi="Calibri"/>
          <w:b/>
          <w:color w:val="143C46"/>
          <w:sz w:val="18"/>
        </w:rPr>
        <w:t>APPENDIX C</w:t>
      </w:r>
    </w:p>
    <w:p>
      <w:pPr>
        <w:pStyle w:val="Heading1"/>
        <w:spacing w:before="0"/>
        <w:pBdr>
          <w:bottom w:val="single" w:sz="8" w:space="6" w:color="143C46"/>
        </w:pBdr>
      </w:pPr>
      <w:r>
        <w:rPr>
          <w:rFonts w:ascii="Times New Roman" w:hAnsi="Times New Roman"/>
          <w:b/>
          <w:color w:val="000000"/>
          <w:sz w:val="30"/>
        </w:rPr>
        <w:t>Matters on Which Comment Is Invited</w:t>
      </w:r>
    </w:p>
    <w:p>
      <w:pPr>
        <w:spacing w:after="120"/>
        <w:ind w:left="504" w:hanging="504"/>
      </w:pPr>
      <w:r>
        <w:rPr>
          <w:rFonts w:ascii="Times New Roman" w:hAnsi="Times New Roman"/>
          <w:b/>
          <w:sz w:val="22"/>
        </w:rPr>
        <w:t xml:space="preserve">1.   </w:t>
      </w:r>
      <w:r>
        <w:rPr>
          <w:rFonts w:ascii="Times New Roman" w:hAnsi="Times New Roman"/>
          <w:b/>
          <w:sz w:val="22"/>
        </w:rPr>
        <w:t>Section 104(d)(1), the commodity carve-out.</w:t>
      </w:r>
      <w:r>
        <w:rPr>
          <w:rFonts w:ascii="Times New Roman" w:hAnsi="Times New Roman"/>
          <w:sz w:val="22"/>
        </w:rPr>
        <w:t xml:space="preserve"> Whether excluding products settled on the price or level of a commodity, security, or index is the right line, given that a binary contract on whether an index will exceed a stated level satisfies Gate 2 while a contract settling at the level itself does not. Example 5 in Appendix A is the hardest case in this standard.</w:t>
      </w:r>
    </w:p>
    <w:p>
      <w:pPr>
        <w:spacing w:after="120"/>
        <w:ind w:left="504" w:hanging="504"/>
      </w:pPr>
      <w:r>
        <w:rPr>
          <w:rFonts w:ascii="Times New Roman" w:hAnsi="Times New Roman"/>
          <w:b/>
          <w:sz w:val="22"/>
        </w:rPr>
        <w:t xml:space="preserve">2.   </w:t>
      </w:r>
      <w:r>
        <w:rPr>
          <w:rFonts w:ascii="Times New Roman" w:hAnsi="Times New Roman"/>
          <w:b/>
          <w:sz w:val="22"/>
        </w:rPr>
        <w:t>Section 104(f), the hedging nexus.</w:t>
      </w:r>
      <w:r>
        <w:rPr>
          <w:rFonts w:ascii="Times New Roman" w:hAnsi="Times New Roman"/>
          <w:sz w:val="22"/>
        </w:rPr>
        <w:t xml:space="preserve"> Whether a per-participant test is administrable, and whether the presumption in § 104(f)(2) is set correctly.</w:t>
      </w:r>
    </w:p>
    <w:p>
      <w:pPr>
        <w:spacing w:after="120"/>
        <w:ind w:left="504" w:hanging="504"/>
      </w:pPr>
      <w:r>
        <w:rPr>
          <w:rFonts w:ascii="Times New Roman" w:hAnsi="Times New Roman"/>
          <w:b/>
          <w:sz w:val="22"/>
        </w:rPr>
        <w:t xml:space="preserve">3.   </w:t>
      </w:r>
      <w:r>
        <w:rPr>
          <w:rFonts w:ascii="Times New Roman" w:hAnsi="Times New Roman"/>
          <w:b/>
          <w:sz w:val="22"/>
        </w:rPr>
        <w:t>Section 104(g)(1), the equivalence exclusion.</w:t>
      </w:r>
      <w:r>
        <w:rPr>
          <w:rFonts w:ascii="Times New Roman" w:hAnsi="Times New Roman"/>
          <w:sz w:val="22"/>
        </w:rPr>
        <w:t xml:space="preserve"> Whether an operator should be permitted to determine equivalence itself, subject to documentation and assessment, or whether equivalence should require a determination by the certifying body.</w:t>
      </w:r>
    </w:p>
    <w:p>
      <w:pPr>
        <w:spacing w:after="120"/>
        <w:ind w:left="504" w:hanging="504"/>
      </w:pPr>
      <w:r>
        <w:rPr>
          <w:rFonts w:ascii="Times New Roman" w:hAnsi="Times New Roman"/>
          <w:b/>
          <w:sz w:val="22"/>
        </w:rPr>
        <w:t xml:space="preserve">4.   </w:t>
      </w:r>
      <w:r>
        <w:rPr>
          <w:rFonts w:ascii="Times New Roman" w:hAnsi="Times New Roman"/>
          <w:b/>
          <w:sz w:val="22"/>
        </w:rPr>
        <w:t>Section 104(e), market-determined value.</w:t>
      </w:r>
      <w:r>
        <w:rPr>
          <w:rFonts w:ascii="Times New Roman" w:hAnsi="Times New Roman"/>
          <w:sz w:val="22"/>
        </w:rPr>
        <w:t xml:space="preserve"> Whether the distinction between a market-determined value and an operator-quoted price holds against product designs that blend the two, including operator-supplied liquidity and automated market makers.</w:t>
      </w:r>
    </w:p>
    <w:p>
      <w:pPr>
        <w:spacing w:after="120"/>
        <w:ind w:left="504" w:hanging="504"/>
      </w:pPr>
      <w:r>
        <w:rPr>
          <w:rFonts w:ascii="Times New Roman" w:hAnsi="Times New Roman"/>
          <w:b/>
          <w:sz w:val="22"/>
        </w:rPr>
        <w:t xml:space="preserve">5.   </w:t>
      </w:r>
      <w:r>
        <w:rPr>
          <w:rFonts w:ascii="Times New Roman" w:hAnsi="Times New Roman"/>
          <w:b/>
          <w:sz w:val="22"/>
        </w:rPr>
        <w:t>Scope of covered operator.</w:t>
      </w:r>
      <w:r>
        <w:rPr>
          <w:rFonts w:ascii="Times New Roman" w:hAnsi="Times New Roman"/>
          <w:sz w:val="22"/>
        </w:rPr>
        <w:t xml:space="preserve"> Whether an intermediary providing participant-facing access to another person's contracts should be subject to the full PMCPS family or a subset.</w:t>
      </w:r>
    </w:p>
    <w:p>
      <w:pPr>
        <w:spacing w:after="120"/>
        <w:ind w:left="504" w:hanging="504"/>
      </w:pPr>
      <w:r>
        <w:rPr>
          <w:rFonts w:ascii="Times New Roman" w:hAnsi="Times New Roman"/>
          <w:b/>
          <w:sz w:val="22"/>
        </w:rPr>
        <w:t xml:space="preserve">6.   </w:t>
      </w:r>
      <w:r>
        <w:rPr>
          <w:rFonts w:ascii="Times New Roman" w:hAnsi="Times New Roman"/>
          <w:b/>
          <w:sz w:val="22"/>
        </w:rPr>
        <w:t>Section 105.</w:t>
      </w:r>
      <w:r>
        <w:rPr>
          <w:rFonts w:ascii="Times New Roman" w:hAnsi="Times New Roman"/>
          <w:sz w:val="22"/>
        </w:rPr>
        <w:t xml:space="preserve"> Whether the classification record should be published, filed with a regulatory authority, or retained and produced on request as drafted.</w:t>
      </w:r>
    </w:p>
    <w:p>
      <w:pPr>
        <w:spacing w:before="240"/>
        <w:jc w:val="center"/>
      </w:pPr>
      <w:r>
        <w:rPr>
          <w:i/>
          <w:color w:val="555555"/>
          <w:sz w:val="19"/>
        </w:rPr>
        <w:t>End of PMCPS-C Version 1.0 Working Draft.</w:t>
      </w:r>
    </w:p>
    <w:sectPr w:rsidR="00FC693F" w:rsidRPr="0006063C" w:rsidSect="00034616">
      <w:headerReference w:type="default" r:id="rId9"/>
      <w:footerReference w:type="default" r:id="rId10"/>
      <w:headerReference w:type="first" r:id="rId11"/>
      <w:footerReference w:type="first" r:id="rId12"/>
      <w:pgSz w:w="12240" w:h="15840"/>
      <w:pgMar w:top="1440" w:right="1656" w:bottom="1440" w:left="1656" w:header="792"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55555"/>
        <w:sz w:val="16"/>
      </w:rPr>
      <w:t xml:space="preserve">Prepared by Tony Morelli, PhD  ·  Institute for Emerging Gaming Markets | Aevora Solutions LLC  ·  Page </w:t>
    </w:r>
    <w:r>
      <w:rPr>
        <w:rFonts w:ascii="Calibri" w:hAnsi="Calibri"/>
        <w:color w:val="555555"/>
        <w:sz w:val="16"/>
      </w:rPr>
      <w:fldChar w:fldCharType="begin"/>
      <w:instrText xml:space="preserve">PAGE</w:instrText>
      <w:fldChar w:fldCharType="separate"/>
      <w:t> </w:t>
      <w:fldChar w:fldCharType="end"/>
    </w:r>
    <w:r>
      <w:rPr>
        <w:rFonts w:ascii="Calibri" w:hAnsi="Calibri"/>
        <w:color w:val="555555"/>
        <w:sz w:val="16"/>
      </w:rPr>
      <w:t xml:space="preserve"> of </w:t>
    </w:r>
    <w:r>
      <w:rPr>
        <w:rFonts w:ascii="Calibri" w:hAnsi="Calibri"/>
        <w:color w:val="555555"/>
        <w:sz w:val="16"/>
      </w:rPr>
      <w:fldChar w:fldCharType="begin"/>
      <w:instrText xml:space="preserve">NUMPAGES</w:instrText>
      <w:fldChar w:fldCharType="separate"/>
      <w:t> </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Bdr>
        <w:bottom w:val="single" w:sz="4" w:space="4" w:color="8A8A8A"/>
      </w:pBdr>
    </w:pPr>
    <w:r>
      <w:rPr>
        <w:rFonts w:ascii="Calibri" w:hAnsi="Calibri"/>
        <w:color w:val="555555"/>
        <w:sz w:val="16"/>
      </w:rPr>
      <w:t>Prediction Market Consumer Protection Standards    ·    PMCPS-C    ·    Classification Standard    ·    Working Draft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74" w:lineRule="auto"/>
    </w:pPr>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240"/>
      <w:outlineLvl w:val="0"/>
    </w:pPr>
    <w:rPr>
      <w:rFonts w:asciiTheme="majorHAnsi" w:eastAsiaTheme="majorEastAsia" w:hAnsiTheme="majorHAnsi" w:cstheme="majorBidi" w:ascii="Times New Roman" w:hAnsi="Times New Roman"/>
      <w:b/>
      <w:bCs/>
      <w:color w:val="000000"/>
      <w:sz w:val="30"/>
      <w:szCs w:val="28"/>
    </w:rPr>
  </w:style>
  <w:style w:type="paragraph" w:styleId="Heading2">
    <w:name w:val="heading 2"/>
    <w:basedOn w:val="Normal"/>
    <w:next w:val="Normal"/>
    <w:link w:val="Heading2Char"/>
    <w:uiPriority w:val="9"/>
    <w:unhideWhenUsed/>
    <w:qFormat/>
    <w:rsid w:val="00FC693F"/>
    <w:pPr>
      <w:keepNext/>
      <w:keepLines/>
      <w:spacing w:before="280" w:after="120"/>
      <w:outlineLvl w:val="1"/>
    </w:pPr>
    <w:rPr>
      <w:rFonts w:asciiTheme="majorHAnsi" w:eastAsiaTheme="majorEastAsia" w:hAnsiTheme="majorHAnsi" w:cstheme="majorBidi" w:ascii="Times New Roman" w:hAnsi="Times New Roman"/>
      <w:b/>
      <w:bCs/>
      <w:color w:val="00000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