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spacing w:after="0"/>
      </w:pPr>
    </w:p>
    <w:p>
      <w:pPr>
        <w:spacing w:after="400" w:before="0"/>
        <w:jc w:val="center"/>
      </w:pPr>
      <w:r>
        <w:rPr>
          <w:rFonts w:ascii="Times New Roman" w:hAnsi="Times New Roman"/>
          <w:b w:val="0"/>
          <w:caps/>
          <w:color w:val="555555"/>
          <w:sz w:val="24"/>
        </w:rPr>
        <w:t>Prediction Market Consumer Protection Standards</w:t>
      </w:r>
    </w:p>
    <w:p>
      <w:pPr>
        <w:spacing w:after="200" w:before="0"/>
        <w:jc w:val="center"/>
      </w:pPr>
      <w:r>
        <w:rPr>
          <w:rFonts w:ascii="Times New Roman" w:hAnsi="Times New Roman"/>
          <w:b/>
          <w:sz w:val="52"/>
        </w:rPr>
        <w:t>Minimum Internal Control Standards</w:t>
      </w:r>
    </w:p>
    <w:p>
      <w:pPr>
        <w:spacing w:after="520" w:before="0"/>
        <w:jc w:val="center"/>
      </w:pPr>
      <w:r>
        <w:rPr>
          <w:rFonts w:ascii="Times New Roman" w:hAnsi="Times New Roman"/>
          <w:b w:val="0"/>
          <w:color w:val="143C46"/>
          <w:sz w:val="24"/>
        </w:rPr>
        <w:t>PMCPS-M  ·  Version 1.0, Working Draft for Comment</w:t>
      </w:r>
    </w:p>
    <w:p>
      <w:pPr>
        <w:spacing w:after="440"/>
        <w:pBdr>
          <w:bottom w:val="single" w:sz="12" w:space="6" w:color="143C46"/>
        </w:pBdr>
      </w:pPr>
    </w:p>
    <w:p>
      <w:pPr>
        <w:spacing w:after="60"/>
        <w:jc w:val="center"/>
      </w:pPr>
      <w:r>
        <w:rPr>
          <w:rFonts w:ascii="Calibri" w:hAnsi="Calibri"/>
          <w:caps/>
          <w:color w:val="555555"/>
          <w:sz w:val="15"/>
        </w:rPr>
        <w:t xml:space="preserve">PREPARED BY   </w:t>
      </w:r>
      <w:r>
        <w:rPr>
          <w:rFonts w:ascii="Times New Roman" w:hAnsi="Times New Roman"/>
          <w:b/>
          <w:sz w:val="24"/>
        </w:rPr>
        <w:t>Tony Morelli, PhD</w:t>
      </w:r>
    </w:p>
    <w:p>
      <w:pPr>
        <w:spacing w:after="60"/>
        <w:jc w:val="center"/>
      </w:pPr>
      <w:r>
        <w:rPr>
          <w:rFonts w:ascii="Times New Roman" w:hAnsi="Times New Roman"/>
          <w:b/>
          <w:sz w:val="24"/>
        </w:rPr>
        <w:t>Institute for Emerging Gaming Markets | Aevora Solutions LLC</w:t>
      </w:r>
    </w:p>
    <w:p>
      <w:pPr>
        <w:spacing w:after="60"/>
        <w:jc w:val="center"/>
      </w:pPr>
      <w:r>
        <w:rPr>
          <w:rFonts w:ascii="Calibri" w:hAnsi="Calibri"/>
          <w:caps/>
          <w:color w:val="555555"/>
          <w:sz w:val="15"/>
        </w:rPr>
        <w:t xml:space="preserve">ISSUED   </w:t>
      </w:r>
      <w:r>
        <w:rPr>
          <w:rFonts w:ascii="Times New Roman" w:hAnsi="Times New Roman"/>
          <w:b w:val="0"/>
          <w:sz w:val="24"/>
        </w:rPr>
        <w:t>August 2026</w:t>
      </w:r>
    </w:p>
    <w:p>
      <w:pPr>
        <w:spacing w:after="60"/>
        <w:jc w:val="center"/>
      </w:pPr>
      <w:r>
        <w:rPr>
          <w:rFonts w:ascii="Calibri" w:hAnsi="Calibri"/>
          <w:caps/>
          <w:color w:val="555555"/>
          <w:sz w:val="15"/>
        </w:rPr>
        <w:t xml:space="preserve">DESIGNATION   </w:t>
      </w:r>
      <w:r>
        <w:rPr>
          <w:rFonts w:ascii="Times New Roman" w:hAnsi="Times New Roman"/>
          <w:b w:val="0"/>
          <w:sz w:val="24"/>
        </w:rPr>
        <w:t>PMCPS-M</w:t>
      </w:r>
    </w:p>
    <w:p>
      <w:pPr>
        <w:spacing w:before="520"/>
        <w:pBdr>
          <w:top w:val="single" w:sz="6" w:space="6" w:color="8A8A8A"/>
        </w:pBdr>
      </w:pPr>
    </w:p>
    <w:p>
      <w:pPr>
        <w:spacing w:before="200"/>
        <w:jc w:val="center"/>
      </w:pPr>
      <w:r>
        <w:rPr>
          <w:rFonts w:ascii="Calibri" w:hAnsi="Calibri"/>
          <w:b/>
          <w:color w:val="8C3D1C"/>
          <w:sz w:val="18"/>
        </w:rPr>
        <w:t>STATUS:  Draft. Not adopted by any regulatory authority.</w:t>
      </w:r>
    </w:p>
    <w:p>
      <w:r>
        <w:br w:type="page"/>
      </w:r>
    </w:p>
    <w:p>
      <w:pPr>
        <w:spacing w:after="200"/>
        <w:pBdr>
          <w:bottom w:val="single" w:sz="6" w:space="6" w:color="8A8A8A"/>
        </w:pBdr>
      </w:pPr>
      <w:r>
        <w:rPr>
          <w:rFonts w:ascii="Calibri" w:hAnsi="Calibri"/>
          <w:b/>
          <w:sz w:val="22"/>
        </w:rPr>
        <w:t>CONTENTS</w:t>
      </w:r>
    </w:p>
    <w:p>
      <w:r>
        <w:fldChar w:fldCharType="begin"/>
        <w:instrText xml:space="preserve">TOC \o "1-2" \h \z \u</w:instrText>
        <w:fldChar w:fldCharType="separate"/>
        <w:t> </w:t>
        <w:fldChar w:fldCharType="end"/>
      </w:r>
    </w:p>
    <w:p>
      <w:r>
        <w:rPr>
          <w:i/>
          <w:color w:val="555555"/>
          <w:sz w:val="17"/>
        </w:rPr>
        <w:t>If the contents above appear blank, select the field and press F9 to build it.</w:t>
      </w:r>
    </w:p>
    <w:p>
      <w:r>
        <w:br w:type="page"/>
      </w:r>
    </w:p>
    <w:p>
      <w:pPr>
        <w:pStyle w:val="Heading1"/>
        <w:pBdr>
          <w:bottom w:val="single" w:sz="8" w:space="6" w:color="143C46"/>
        </w:pBdr>
      </w:pPr>
      <w:r>
        <w:rPr>
          <w:rFonts w:ascii="Times New Roman" w:hAnsi="Times New Roman"/>
          <w:b/>
          <w:color w:val="000000"/>
          <w:sz w:val="26"/>
        </w:rPr>
        <w:t>Prefatory Note</w:t>
      </w:r>
    </w:p>
    <w:p>
      <w:pPr>
        <w:jc w:val="both"/>
      </w:pPr>
      <w:r>
        <w:rPr>
          <w:rFonts w:ascii="Times New Roman" w:hAnsi="Times New Roman"/>
          <w:sz w:val="22"/>
        </w:rPr>
        <w:t>These are the minimum internal control standards in the PMCPS family. They state what a covered operator must do. They are the second of three layers:</w:t>
      </w:r>
    </w:p>
    <w:tbl>
      <w:tblPr>
        <w:tblStyle w:val="TableGrid"/>
        <w:tblW w:type="auto" w:w="0"/>
        <w:jc w:val="center"/>
        <w:tblLayout w:type="autofit"/>
        <w:tblLook w:firstColumn="1" w:firstRow="1" w:lastColumn="0" w:lastRow="0" w:noHBand="0" w:noVBand="1" w:val="04A0"/>
      </w:tblPr>
      <w:tblGrid>
        <w:gridCol w:w="2232"/>
        <w:gridCol w:w="2232"/>
        <w:gridCol w:w="2232"/>
        <w:gridCol w:w="2232"/>
      </w:tblGrid>
      <w:tr>
        <w:tc>
          <w:tcPr>
            <w:tcW w:type="dxa" w:w="2232"/>
            <w:shd w:val="clear" w:color="auto" w:fill="E8ECEE"/>
          </w:tcPr>
          <w:p>
            <w:pPr>
              <w:spacing w:after="40" w:before="40"/>
            </w:pPr>
            <w:r/>
            <w:r>
              <w:rPr>
                <w:rFonts w:ascii="Calibri" w:hAnsi="Calibri"/>
                <w:b/>
                <w:sz w:val="16"/>
              </w:rPr>
              <w:t>Layer</w:t>
            </w:r>
          </w:p>
        </w:tc>
        <w:tc>
          <w:tcPr>
            <w:tcW w:type="dxa" w:w="2232"/>
            <w:shd w:val="clear" w:color="auto" w:fill="E8ECEE"/>
          </w:tcPr>
          <w:p>
            <w:pPr>
              <w:spacing w:after="40" w:before="40"/>
            </w:pPr>
            <w:r/>
            <w:r>
              <w:rPr>
                <w:rFonts w:ascii="Calibri" w:hAnsi="Calibri"/>
                <w:b/>
                <w:sz w:val="16"/>
              </w:rPr>
              <w:t>Document</w:t>
            </w:r>
          </w:p>
        </w:tc>
        <w:tc>
          <w:tcPr>
            <w:tcW w:type="dxa" w:w="2232"/>
            <w:shd w:val="clear" w:color="auto" w:fill="E8ECEE"/>
          </w:tcPr>
          <w:p>
            <w:pPr>
              <w:spacing w:after="40" w:before="40"/>
            </w:pPr>
            <w:r/>
            <w:r>
              <w:rPr>
                <w:rFonts w:ascii="Calibri" w:hAnsi="Calibri"/>
                <w:b/>
                <w:sz w:val="16"/>
              </w:rPr>
              <w:t>Federal analogue</w:t>
            </w:r>
          </w:p>
        </w:tc>
        <w:tc>
          <w:tcPr>
            <w:tcW w:type="dxa" w:w="2232"/>
            <w:shd w:val="clear" w:color="auto" w:fill="E8ECEE"/>
          </w:tcPr>
          <w:p>
            <w:pPr>
              <w:spacing w:after="40" w:before="40"/>
            </w:pPr>
            <w:r/>
            <w:r>
              <w:rPr>
                <w:rFonts w:ascii="Calibri" w:hAnsi="Calibri"/>
                <w:b/>
                <w:sz w:val="16"/>
              </w:rPr>
              <w:t>Question answered</w:t>
            </w:r>
          </w:p>
        </w:tc>
      </w:tr>
      <w:tr>
        <w:tc>
          <w:tcPr>
            <w:tcW w:type="dxa" w:w="2232"/>
          </w:tcPr>
          <w:p>
            <w:pPr>
              <w:spacing w:after="40" w:before="40"/>
            </w:pPr>
            <w:r/>
            <w:r>
              <w:rPr>
                <w:rFonts w:ascii="Times New Roman" w:hAnsi="Times New Roman"/>
                <w:sz w:val="17"/>
              </w:rPr>
              <w:t>Classification</w:t>
            </w:r>
          </w:p>
        </w:tc>
        <w:tc>
          <w:tcPr>
            <w:tcW w:type="dxa" w:w="2232"/>
          </w:tcPr>
          <w:p>
            <w:pPr>
              <w:spacing w:after="40" w:before="40"/>
            </w:pPr>
            <w:r/>
            <w:r>
              <w:rPr>
                <w:rFonts w:ascii="Times New Roman" w:hAnsi="Times New Roman"/>
                <w:sz w:val="17"/>
              </w:rPr>
              <w:t>PMCPS-C</w:t>
            </w:r>
          </w:p>
        </w:tc>
        <w:tc>
          <w:tcPr>
            <w:tcW w:type="dxa" w:w="2232"/>
          </w:tcPr>
          <w:p>
            <w:pPr>
              <w:spacing w:after="40" w:before="40"/>
            </w:pPr>
            <w:r/>
            <w:r>
              <w:rPr>
                <w:rFonts w:ascii="Times New Roman" w:hAnsi="Times New Roman"/>
                <w:sz w:val="17"/>
              </w:rPr>
              <w:t>25 C.F.R. pt. 502</w:t>
            </w:r>
          </w:p>
        </w:tc>
        <w:tc>
          <w:tcPr>
            <w:tcW w:type="dxa" w:w="2232"/>
          </w:tcPr>
          <w:p>
            <w:pPr>
              <w:spacing w:after="40" w:before="40"/>
            </w:pPr>
            <w:r/>
            <w:r>
              <w:rPr>
                <w:rFonts w:ascii="Times New Roman" w:hAnsi="Times New Roman"/>
                <w:sz w:val="17"/>
              </w:rPr>
              <w:t>Is the product in scope?</w:t>
            </w:r>
          </w:p>
        </w:tc>
      </w:tr>
      <w:tr>
        <w:tc>
          <w:tcPr>
            <w:tcW w:type="dxa" w:w="2232"/>
          </w:tcPr>
          <w:p>
            <w:pPr>
              <w:spacing w:after="40" w:before="40"/>
            </w:pPr>
            <w:r/>
            <w:r>
              <w:rPr>
                <w:rFonts w:ascii="Times New Roman" w:hAnsi="Times New Roman"/>
                <w:sz w:val="17"/>
              </w:rPr>
              <w:t>Minimum internal controls</w:t>
            </w:r>
          </w:p>
        </w:tc>
        <w:tc>
          <w:tcPr>
            <w:tcW w:type="dxa" w:w="2232"/>
          </w:tcPr>
          <w:p>
            <w:pPr>
              <w:spacing w:after="40" w:before="40"/>
            </w:pPr>
            <w:r/>
            <w:r>
              <w:rPr>
                <w:rFonts w:ascii="Times New Roman" w:hAnsi="Times New Roman"/>
                <w:b/>
                <w:sz w:val="17"/>
              </w:rPr>
              <w:t>PMCPS-M</w:t>
            </w:r>
          </w:p>
        </w:tc>
        <w:tc>
          <w:tcPr>
            <w:tcW w:type="dxa" w:w="2232"/>
          </w:tcPr>
          <w:p>
            <w:pPr>
              <w:spacing w:after="40" w:before="40"/>
            </w:pPr>
            <w:r/>
            <w:r>
              <w:rPr>
                <w:rFonts w:ascii="Times New Roman" w:hAnsi="Times New Roman"/>
                <w:sz w:val="17"/>
              </w:rPr>
              <w:t>25 C.F.R. pt. 543</w:t>
            </w:r>
          </w:p>
        </w:tc>
        <w:tc>
          <w:tcPr>
            <w:tcW w:type="dxa" w:w="2232"/>
          </w:tcPr>
          <w:p>
            <w:pPr>
              <w:spacing w:after="40" w:before="40"/>
            </w:pPr>
            <w:r/>
            <w:r>
              <w:rPr>
                <w:rFonts w:ascii="Times New Roman" w:hAnsi="Times New Roman"/>
                <w:sz w:val="17"/>
              </w:rPr>
              <w:t>What must the operator do?</w:t>
            </w:r>
          </w:p>
        </w:tc>
      </w:tr>
      <w:tr>
        <w:tc>
          <w:tcPr>
            <w:tcW w:type="dxa" w:w="2232"/>
          </w:tcPr>
          <w:p>
            <w:pPr>
              <w:spacing w:after="40" w:before="40"/>
            </w:pPr>
            <w:r/>
            <w:r>
              <w:rPr>
                <w:rFonts w:ascii="Times New Roman" w:hAnsi="Times New Roman"/>
                <w:sz w:val="17"/>
              </w:rPr>
              <w:t>Technical standards</w:t>
            </w:r>
          </w:p>
        </w:tc>
        <w:tc>
          <w:tcPr>
            <w:tcW w:type="dxa" w:w="2232"/>
          </w:tcPr>
          <w:p>
            <w:pPr>
              <w:spacing w:after="40" w:before="40"/>
            </w:pPr>
            <w:r/>
            <w:r>
              <w:rPr>
                <w:rFonts w:ascii="Times New Roman" w:hAnsi="Times New Roman"/>
                <w:sz w:val="17"/>
              </w:rPr>
              <w:t>PMCPS-T (reserved)</w:t>
            </w:r>
          </w:p>
        </w:tc>
        <w:tc>
          <w:tcPr>
            <w:tcW w:type="dxa" w:w="2232"/>
          </w:tcPr>
          <w:p>
            <w:pPr>
              <w:spacing w:after="40" w:before="40"/>
            </w:pPr>
            <w:r/>
            <w:r>
              <w:rPr>
                <w:rFonts w:ascii="Times New Roman" w:hAnsi="Times New Roman"/>
                <w:sz w:val="17"/>
              </w:rPr>
              <w:t>25 C.F.R. pt. 547</w:t>
            </w:r>
          </w:p>
        </w:tc>
        <w:tc>
          <w:tcPr>
            <w:tcW w:type="dxa" w:w="2232"/>
          </w:tcPr>
          <w:p>
            <w:pPr>
              <w:spacing w:after="40" w:before="40"/>
            </w:pPr>
            <w:r/>
            <w:r>
              <w:rPr>
                <w:rFonts w:ascii="Times New Roman" w:hAnsi="Times New Roman"/>
                <w:sz w:val="17"/>
              </w:rPr>
              <w:t>What must the system do, and how is it tested?</w:t>
            </w:r>
          </w:p>
        </w:tc>
      </w:tr>
    </w:tbl>
    <w:p>
      <w:pPr>
        <w:spacing w:after="80"/>
      </w:pPr>
    </w:p>
    <w:p>
      <w:pPr>
        <w:jc w:val="both"/>
      </w:pPr>
      <w:r>
        <w:rPr>
          <w:rFonts w:ascii="Times New Roman" w:hAnsi="Times New Roman"/>
          <w:sz w:val="22"/>
        </w:rPr>
        <w:t>The model for this document is 25 C.F.R. part 543, the Minimum Internal Control Standards for class II gaming. Part 543 was written for a gaming class that Congress had defined but not specified, by an agency building the specification from scratch. That is the same position a prediction market standard occupies now, and part 543's organization, each standard stating who must do what, at what frequency, and with what documentation, is the organization used here.</w:t>
      </w:r>
    </w:p>
    <w:p>
      <w:pPr>
        <w:jc w:val="both"/>
      </w:pPr>
      <w:r>
        <w:rPr>
          <w:rFonts w:ascii="Times New Roman" w:hAnsi="Times New Roman"/>
          <w:sz w:val="22"/>
        </w:rPr>
        <w:t>These Standards are written to be jurisdiction neutral. A prediction market operating as a designated contract market under the Commodity Exchange Act, an operator licensed under a state wagering program, and an operator subject to a tribal-state compact can each be measured against them. Nothing here resolves which authority governs prediction markets. That question is contested, and these Standards take no position on it.</w:t>
      </w:r>
    </w:p>
    <w:p>
      <w:pPr>
        <w:jc w:val="both"/>
      </w:pPr>
      <w:r>
        <w:rPr>
          <w:rFonts w:ascii="Times New Roman" w:hAnsi="Times New Roman"/>
          <w:sz w:val="22"/>
        </w:rPr>
        <w:t>The gap they address is documented, not assumed. The Commission's proposed rule on prediction markets published June 9, 2026 contains no requirement addressing deposit limits, problem gambling, or age verification, and refers to self-exclusion once. The Commodity Exchange Act and its implementing regulations contain extensive market integrity requirements and no participant protection requirements comparable to those in force in every state that regulates online wagering. An operator that satisfies every obligation currently imposed on it by federal derivatives law will still fall short of the protections a participant would receive on a licensed sportsbook in Ohio, New Jersey, Virginia, or Nevada.</w:t>
      </w:r>
    </w:p>
    <w:p>
      <w:pPr>
        <w:jc w:val="both"/>
      </w:pPr>
      <w:r>
        <w:rPr>
          <w:rFonts w:ascii="Times New Roman" w:hAnsi="Times New Roman"/>
          <w:sz w:val="22"/>
        </w:rPr>
        <w:t>Part 500 addresses contract integrity and settlement. No existing gambling or derivatives regime regulates it in the form these markets require, because no regulator has previously supervised a consumer-facing product whose payout depends on the resolution of a contested question of fact. It is the newest material here and the part most in need of comment.</w:t>
      </w:r>
    </w:p>
    <w:p>
      <w:pPr>
        <w:jc w:val="both"/>
      </w:pPr>
      <w:r>
        <w:rPr>
          <w:rFonts w:ascii="Times New Roman" w:hAnsi="Times New Roman"/>
          <w:sz w:val="22"/>
        </w:rPr>
        <w:t>Requirements in these Standards are stated as internal controls, verifiable by an assessor examining records, procedures, and evidence. They are not technical standards, and are not written as specifications a testing laboratory can certify against. Where a requirement here implies a testable system behavior, that behavior will be specified in PMCPS-T. Until PMCPS-T is issued, § 208 requires independent testing against the requirements of § 207.</w:t>
      </w:r>
    </w:p>
    <w:p>
      <w:pPr>
        <w:jc w:val="both"/>
      </w:pPr>
      <w:r>
        <w:rPr>
          <w:rFonts w:ascii="Times New Roman" w:hAnsi="Times New Roman"/>
          <w:sz w:val="22"/>
        </w:rPr>
        <w:t xml:space="preserve">Each Part closes with a Basis note identifying the primary sources from which the requirements are derived, following the convention of the Code of Federal Regulations. Sources are held locally and indexed at </w:t>
      </w:r>
      <w:r>
        <w:rPr>
          <w:rFonts w:ascii="Consolas" w:hAnsi="Consolas"/>
          <w:sz w:val="22"/>
        </w:rPr>
        <w:t>research/SOURCES.md</w:t>
      </w:r>
      <w:r>
        <w:rPr>
          <w:rFonts w:ascii="Times New Roman" w:hAnsi="Times New Roman"/>
          <w:sz w:val="22"/>
        </w:rPr>
        <w:t>.</w:t>
      </w:r>
    </w:p>
    <w:p>
      <w:pPr>
        <w:spacing w:after="40"/>
      </w:pPr>
      <w:r>
        <w:rPr>
          <w:rFonts w:ascii="Calibri" w:hAnsi="Calibri"/>
          <w:b/>
          <w:color w:val="143C46"/>
          <w:sz w:val="18"/>
        </w:rPr>
        <w:t>PART 200</w:t>
      </w:r>
    </w:p>
    <w:p>
      <w:pPr>
        <w:pStyle w:val="Heading1"/>
        <w:spacing w:before="0"/>
        <w:pBdr>
          <w:bottom w:val="single" w:sz="8" w:space="6" w:color="143C46"/>
        </w:pBdr>
      </w:pPr>
      <w:r>
        <w:rPr>
          <w:rFonts w:ascii="Times New Roman" w:hAnsi="Times New Roman"/>
          <w:b/>
          <w:color w:val="000000"/>
          <w:sz w:val="30"/>
        </w:rPr>
        <w:t>Scope, Application, and Operator Requirements</w:t>
      </w:r>
    </w:p>
    <w:p>
      <w:pPr>
        <w:pStyle w:val="Heading2"/>
      </w:pPr>
      <w:r>
        <w:rPr>
          <w:rFonts w:ascii="Times New Roman" w:hAnsi="Times New Roman"/>
          <w:b/>
          <w:color w:val="143C46"/>
          <w:sz w:val="23"/>
        </w:rPr>
        <w:t xml:space="preserve">§ 201.  </w:t>
      </w:r>
      <w:r>
        <w:rPr>
          <w:rFonts w:ascii="Times New Roman" w:hAnsi="Times New Roman"/>
          <w:b/>
          <w:color w:val="000000"/>
          <w:sz w:val="23"/>
        </w:rPr>
        <w:t>Purpose</w:t>
      </w:r>
    </w:p>
    <w:p>
      <w:pPr>
        <w:jc w:val="both"/>
      </w:pPr>
      <w:r>
        <w:rPr>
          <w:rFonts w:ascii="Times New Roman" w:hAnsi="Times New Roman"/>
          <w:sz w:val="22"/>
        </w:rPr>
        <w:t>These Standards establish minimum internal control requirements for the protection of participants in prediction markets, addressing participant exclusion, financial limits, disclosure, problem gambling, age and identity verification, market integrity, contract resolution, records, reporting, and certification.</w:t>
      </w:r>
    </w:p>
    <w:p>
      <w:pPr>
        <w:pStyle w:val="Heading2"/>
      </w:pPr>
      <w:r>
        <w:rPr>
          <w:rFonts w:ascii="Times New Roman" w:hAnsi="Times New Roman"/>
          <w:b/>
          <w:color w:val="143C46"/>
          <w:sz w:val="23"/>
        </w:rPr>
        <w:t xml:space="preserve">§ 202.  </w:t>
      </w:r>
      <w:r>
        <w:rPr>
          <w:rFonts w:ascii="Times New Roman" w:hAnsi="Times New Roman"/>
          <w:b/>
          <w:color w:val="000000"/>
          <w:sz w:val="23"/>
        </w:rPr>
        <w:t>Application</w:t>
      </w:r>
    </w:p>
    <w:p>
      <w:pPr>
        <w:ind w:left="432" w:hanging="432"/>
        <w:jc w:val="both"/>
      </w:pPr>
      <w:r>
        <w:rPr>
          <w:rFonts w:ascii="Times New Roman" w:hAnsi="Times New Roman"/>
          <w:b/>
          <w:sz w:val="22"/>
        </w:rPr>
        <w:t xml:space="preserve">(a)  </w:t>
      </w:r>
      <w:r>
        <w:rPr>
          <w:rFonts w:ascii="Times New Roman" w:hAnsi="Times New Roman"/>
          <w:sz w:val="22"/>
        </w:rPr>
        <w:t>These Standards apply to a covered operator with respect to each covered contract offered to a participant.</w:t>
      </w:r>
    </w:p>
    <w:p>
      <w:pPr>
        <w:ind w:left="432" w:hanging="432"/>
        <w:jc w:val="both"/>
      </w:pPr>
      <w:r>
        <w:rPr>
          <w:rFonts w:ascii="Times New Roman" w:hAnsi="Times New Roman"/>
          <w:b/>
          <w:sz w:val="22"/>
        </w:rPr>
        <w:t xml:space="preserve">(b)  </w:t>
      </w:r>
      <w:r>
        <w:rPr>
          <w:rFonts w:ascii="Times New Roman" w:hAnsi="Times New Roman"/>
          <w:sz w:val="22"/>
        </w:rPr>
        <w:t>Whether a product is a covered contract, and whether a person is a covered operator, are determined under PMCPS-C § 104. A covered operator shall make and retain the classification determination required by PMCPS-C § 105.</w:t>
      </w:r>
    </w:p>
    <w:p>
      <w:pPr>
        <w:ind w:left="432" w:hanging="432"/>
        <w:jc w:val="both"/>
      </w:pPr>
      <w:r>
        <w:rPr>
          <w:rFonts w:ascii="Times New Roman" w:hAnsi="Times New Roman"/>
          <w:b/>
          <w:sz w:val="22"/>
        </w:rPr>
        <w:t xml:space="preserve">(c)  </w:t>
      </w:r>
      <w:r>
        <w:rPr>
          <w:rFonts w:ascii="Times New Roman" w:hAnsi="Times New Roman"/>
          <w:sz w:val="22"/>
        </w:rPr>
        <w:t>These Standards state minimum requirements. A covered operator remains subject to all obligations imposed by applicable law. Where applicable law imposes a stricter requirement, the stricter requirement governs.</w:t>
      </w:r>
    </w:p>
    <w:p>
      <w:pPr>
        <w:ind w:left="432" w:hanging="432"/>
        <w:jc w:val="both"/>
      </w:pPr>
      <w:r>
        <w:rPr>
          <w:rFonts w:ascii="Times New Roman" w:hAnsi="Times New Roman"/>
          <w:b/>
          <w:sz w:val="22"/>
        </w:rPr>
        <w:t xml:space="preserve">(d)  </w:t>
      </w:r>
      <w:r>
        <w:rPr>
          <w:rFonts w:ascii="Times New Roman" w:hAnsi="Times New Roman"/>
          <w:sz w:val="22"/>
        </w:rPr>
        <w:t>Compliance with these Standards is not a defense to any charge arising under applicable law, and is not evidence that a covered contract is lawful in any jurisdiction.</w:t>
      </w:r>
    </w:p>
    <w:p>
      <w:pPr>
        <w:ind w:left="432" w:hanging="432"/>
        <w:jc w:val="both"/>
      </w:pPr>
      <w:r>
        <w:rPr>
          <w:rFonts w:ascii="Times New Roman" w:hAnsi="Times New Roman"/>
          <w:b/>
          <w:sz w:val="22"/>
        </w:rPr>
        <w:t xml:space="preserve">(e)  </w:t>
      </w:r>
      <w:r>
        <w:rPr>
          <w:rFonts w:ascii="Times New Roman" w:hAnsi="Times New Roman"/>
          <w:sz w:val="22"/>
        </w:rPr>
        <w:t>Where a product ceases to be a covered contract, these Standards continue to apply to positions opened while it was a covered contract, until those positions settle or are closed.</w:t>
      </w:r>
    </w:p>
    <w:p>
      <w:pPr>
        <w:pStyle w:val="Heading2"/>
      </w:pPr>
      <w:r>
        <w:rPr>
          <w:rFonts w:ascii="Times New Roman" w:hAnsi="Times New Roman"/>
          <w:b/>
          <w:color w:val="143C46"/>
          <w:sz w:val="23"/>
        </w:rPr>
        <w:t xml:space="preserve">§ 203.  </w:t>
      </w:r>
      <w:r>
        <w:rPr>
          <w:rFonts w:ascii="Times New Roman" w:hAnsi="Times New Roman"/>
          <w:b/>
          <w:color w:val="000000"/>
          <w:sz w:val="23"/>
        </w:rPr>
        <w:t>Definitions</w:t>
      </w:r>
    </w:p>
    <w:p>
      <w:pPr>
        <w:ind w:left="432" w:hanging="432"/>
        <w:jc w:val="both"/>
      </w:pPr>
      <w:r>
        <w:rPr>
          <w:rFonts w:ascii="Times New Roman" w:hAnsi="Times New Roman"/>
          <w:b/>
          <w:sz w:val="22"/>
        </w:rPr>
        <w:t xml:space="preserve">(a)  </w:t>
      </w:r>
      <w:r>
        <w:rPr>
          <w:rFonts w:ascii="Times New Roman" w:hAnsi="Times New Roman"/>
          <w:sz w:val="22"/>
        </w:rPr>
        <w:t>The definitions in PMCPS-C § 103 apply to these Standards.</w:t>
      </w:r>
    </w:p>
    <w:p>
      <w:pPr>
        <w:ind w:left="432" w:hanging="432"/>
        <w:jc w:val="both"/>
      </w:pPr>
      <w:r>
        <w:rPr>
          <w:rFonts w:ascii="Times New Roman" w:hAnsi="Times New Roman"/>
          <w:b/>
          <w:sz w:val="22"/>
        </w:rPr>
        <w:t xml:space="preserve">(b)  </w:t>
      </w:r>
      <w:r>
        <w:rPr>
          <w:rFonts w:ascii="Times New Roman" w:hAnsi="Times New Roman"/>
          <w:sz w:val="22"/>
        </w:rPr>
        <w:t>In addition, as used in these Standards:</w:t>
      </w:r>
    </w:p>
    <w:p>
      <w:pPr>
        <w:jc w:val="both"/>
      </w:pPr>
      <w:r>
        <w:rPr>
          <w:rFonts w:ascii="Times New Roman" w:hAnsi="Times New Roman"/>
          <w:b/>
          <w:sz w:val="22"/>
        </w:rPr>
        <w:t>Assessor</w:t>
      </w:r>
      <w:r>
        <w:rPr>
          <w:rFonts w:ascii="Times New Roman" w:hAnsi="Times New Roman"/>
          <w:sz w:val="22"/>
        </w:rPr>
        <w:t xml:space="preserve"> means a person meeting the requirements of § 701.</w:t>
      </w:r>
    </w:p>
    <w:p>
      <w:pPr>
        <w:jc w:val="both"/>
      </w:pPr>
      <w:r>
        <w:rPr>
          <w:rFonts w:ascii="Times New Roman" w:hAnsi="Times New Roman"/>
          <w:b/>
          <w:sz w:val="22"/>
        </w:rPr>
        <w:t>Excluded participant</w:t>
      </w:r>
      <w:r>
        <w:rPr>
          <w:rFonts w:ascii="Times New Roman" w:hAnsi="Times New Roman"/>
          <w:sz w:val="22"/>
        </w:rPr>
        <w:t xml:space="preserve"> means an individual enrolled in an exclusion program under Part 300.</w:t>
      </w:r>
    </w:p>
    <w:p>
      <w:pPr>
        <w:jc w:val="both"/>
      </w:pPr>
      <w:r>
        <w:rPr>
          <w:rFonts w:ascii="Times New Roman" w:hAnsi="Times New Roman"/>
          <w:b/>
          <w:sz w:val="22"/>
        </w:rPr>
        <w:t>Influencing person</w:t>
      </w:r>
      <w:r>
        <w:rPr>
          <w:rFonts w:ascii="Times New Roman" w:hAnsi="Times New Roman"/>
          <w:sz w:val="22"/>
        </w:rPr>
        <w:t xml:space="preserve"> means an individual who, with respect to the event underlying a covered contract, is reasonably capable of affecting the occurrence, non-occurrence, magnitude, or timing of that event, or who has access to material non-public information concerning it. The term includes the categories identified in § 402(b).</w:t>
      </w:r>
    </w:p>
    <w:p>
      <w:pPr>
        <w:jc w:val="both"/>
      </w:pPr>
      <w:r>
        <w:rPr>
          <w:rFonts w:ascii="Times New Roman" w:hAnsi="Times New Roman"/>
          <w:b/>
          <w:sz w:val="22"/>
        </w:rPr>
        <w:t>Material non-public information</w:t>
      </w:r>
      <w:r>
        <w:rPr>
          <w:rFonts w:ascii="Times New Roman" w:hAnsi="Times New Roman"/>
          <w:sz w:val="22"/>
        </w:rPr>
        <w:t xml:space="preserve"> means information that has not been disseminated in a manner making it available to participants generally, and that a reasonable participant would consider important in deciding whether to enter into, hold, or close a position in a covered contract.</w:t>
      </w:r>
    </w:p>
    <w:p>
      <w:pPr>
        <w:jc w:val="both"/>
      </w:pPr>
      <w:r>
        <w:rPr>
          <w:rFonts w:ascii="Times New Roman" w:hAnsi="Times New Roman"/>
          <w:b/>
          <w:sz w:val="22"/>
        </w:rPr>
        <w:t>Resolution source</w:t>
      </w:r>
      <w:r>
        <w:rPr>
          <w:rFonts w:ascii="Times New Roman" w:hAnsi="Times New Roman"/>
          <w:sz w:val="22"/>
        </w:rPr>
        <w:t xml:space="preserve"> means the data source, publication, official determination, or other authority designated under § 501 as governing settlement of a covered contract.</w:t>
      </w:r>
    </w:p>
    <w:p>
      <w:pPr>
        <w:pStyle w:val="Heading2"/>
      </w:pPr>
      <w:r>
        <w:rPr>
          <w:rFonts w:ascii="Times New Roman" w:hAnsi="Times New Roman"/>
          <w:b/>
          <w:color w:val="143C46"/>
          <w:sz w:val="23"/>
        </w:rPr>
        <w:t xml:space="preserve">§ 204.  </w:t>
      </w:r>
      <w:r>
        <w:rPr>
          <w:rFonts w:ascii="Times New Roman" w:hAnsi="Times New Roman"/>
          <w:b/>
          <w:color w:val="000000"/>
          <w:sz w:val="23"/>
        </w:rPr>
        <w:t>Organizational requirements</w:t>
      </w:r>
    </w:p>
    <w:p>
      <w:pPr>
        <w:ind w:left="432" w:hanging="432"/>
        <w:jc w:val="both"/>
      </w:pPr>
      <w:r>
        <w:rPr>
          <w:rFonts w:ascii="Times New Roman" w:hAnsi="Times New Roman"/>
          <w:b/>
          <w:sz w:val="22"/>
        </w:rPr>
        <w:t xml:space="preserve">(a)  </w:t>
      </w:r>
      <w:r>
        <w:rPr>
          <w:rFonts w:ascii="Times New Roman" w:hAnsi="Times New Roman"/>
          <w:sz w:val="22"/>
        </w:rPr>
        <w:t>A covered operator shall designate an individual responsible for compliance with these Standards. The designated individual shall have direct reporting access to the covered operator's governing body and sufficient authority and resources to discharge the responsibility.</w:t>
      </w:r>
    </w:p>
    <w:p>
      <w:pPr>
        <w:ind w:left="432" w:hanging="432"/>
        <w:jc w:val="both"/>
      </w:pPr>
      <w:r>
        <w:rPr>
          <w:rFonts w:ascii="Times New Roman" w:hAnsi="Times New Roman"/>
          <w:b/>
          <w:sz w:val="22"/>
        </w:rPr>
        <w:t xml:space="preserve">(b)  </w:t>
      </w:r>
      <w:r>
        <w:rPr>
          <w:rFonts w:ascii="Times New Roman" w:hAnsi="Times New Roman"/>
          <w:sz w:val="22"/>
        </w:rPr>
        <w:t>A covered operator shall maintain written policies and procedures implementing each Part of these Standards, shall review them not less than annually, and shall document each review.</w:t>
      </w:r>
    </w:p>
    <w:p>
      <w:pPr>
        <w:ind w:left="432" w:hanging="432"/>
        <w:jc w:val="both"/>
      </w:pPr>
      <w:r>
        <w:rPr>
          <w:rFonts w:ascii="Times New Roman" w:hAnsi="Times New Roman"/>
          <w:b/>
          <w:sz w:val="22"/>
        </w:rPr>
        <w:t xml:space="preserve">(c)  </w:t>
      </w:r>
      <w:r>
        <w:rPr>
          <w:rFonts w:ascii="Times New Roman" w:hAnsi="Times New Roman"/>
          <w:sz w:val="22"/>
        </w:rPr>
        <w:t>A covered operator shall not delegate responsibility for compliance with these Standards to a participant, an affiliate, or a third-party service provider. A covered operator may contract for performance of a function but remains responsible for the result.</w:t>
      </w:r>
    </w:p>
    <w:p>
      <w:pPr>
        <w:pStyle w:val="Heading2"/>
      </w:pPr>
      <w:r>
        <w:rPr>
          <w:rFonts w:ascii="Times New Roman" w:hAnsi="Times New Roman"/>
          <w:b/>
          <w:color w:val="143C46"/>
          <w:sz w:val="23"/>
        </w:rPr>
        <w:t xml:space="preserve">§ 205.  </w:t>
      </w:r>
      <w:r>
        <w:rPr>
          <w:rFonts w:ascii="Times New Roman" w:hAnsi="Times New Roman"/>
          <w:b/>
          <w:color w:val="000000"/>
          <w:sz w:val="23"/>
        </w:rPr>
        <w:t>Fitness</w:t>
      </w:r>
    </w:p>
    <w:p>
      <w:pPr>
        <w:ind w:left="432" w:hanging="432"/>
        <w:jc w:val="both"/>
      </w:pPr>
      <w:r>
        <w:rPr>
          <w:rFonts w:ascii="Times New Roman" w:hAnsi="Times New Roman"/>
          <w:b/>
          <w:sz w:val="22"/>
        </w:rPr>
        <w:t xml:space="preserve">(a)  </w:t>
      </w:r>
      <w:r>
        <w:rPr>
          <w:rFonts w:ascii="Times New Roman" w:hAnsi="Times New Roman"/>
          <w:sz w:val="22"/>
        </w:rPr>
        <w:t>A covered operator shall establish and apply written criteria addressing the fitness of its principals, key employees, and beneficial owners holding five percent or more of its equity, covering criminal history, financial responsibility, prior regulatory action, and undisclosed conflicts.</w:t>
      </w:r>
    </w:p>
    <w:p>
      <w:pPr>
        <w:ind w:left="432" w:hanging="432"/>
        <w:jc w:val="both"/>
      </w:pPr>
      <w:r>
        <w:rPr>
          <w:rFonts w:ascii="Times New Roman" w:hAnsi="Times New Roman"/>
          <w:b/>
          <w:sz w:val="22"/>
        </w:rPr>
        <w:t xml:space="preserve">(b)  </w:t>
      </w:r>
      <w:r>
        <w:rPr>
          <w:rFonts w:ascii="Times New Roman" w:hAnsi="Times New Roman"/>
          <w:sz w:val="22"/>
        </w:rPr>
        <w:t>A covered operator shall re-evaluate fitness upon a change of control and not less than every three years.</w:t>
      </w:r>
    </w:p>
    <w:p>
      <w:pPr>
        <w:pStyle w:val="Heading2"/>
      </w:pPr>
      <w:r>
        <w:rPr>
          <w:rFonts w:ascii="Times New Roman" w:hAnsi="Times New Roman"/>
          <w:b/>
          <w:color w:val="143C46"/>
          <w:sz w:val="23"/>
        </w:rPr>
        <w:t xml:space="preserve">§ 206.  </w:t>
      </w:r>
      <w:r>
        <w:rPr>
          <w:rFonts w:ascii="Times New Roman" w:hAnsi="Times New Roman"/>
          <w:b/>
          <w:color w:val="000000"/>
          <w:sz w:val="23"/>
        </w:rPr>
        <w:t>Segregation and protection of participant funds</w:t>
      </w:r>
    </w:p>
    <w:p>
      <w:pPr>
        <w:ind w:left="432" w:hanging="432"/>
        <w:jc w:val="both"/>
      </w:pPr>
      <w:r>
        <w:rPr>
          <w:rFonts w:ascii="Times New Roman" w:hAnsi="Times New Roman"/>
          <w:b/>
          <w:sz w:val="22"/>
        </w:rPr>
        <w:t xml:space="preserve">(a)  </w:t>
      </w:r>
      <w:r>
        <w:rPr>
          <w:rFonts w:ascii="Times New Roman" w:hAnsi="Times New Roman"/>
          <w:sz w:val="22"/>
        </w:rPr>
        <w:t>A covered operator shall hold participant funds separately from its operating funds.</w:t>
      </w:r>
    </w:p>
    <w:p>
      <w:pPr>
        <w:ind w:left="432" w:hanging="432"/>
        <w:jc w:val="both"/>
      </w:pPr>
      <w:r>
        <w:rPr>
          <w:rFonts w:ascii="Times New Roman" w:hAnsi="Times New Roman"/>
          <w:b/>
          <w:sz w:val="22"/>
        </w:rPr>
        <w:t xml:space="preserve">(b)  </w:t>
      </w:r>
      <w:r>
        <w:rPr>
          <w:rFonts w:ascii="Times New Roman" w:hAnsi="Times New Roman"/>
          <w:sz w:val="22"/>
        </w:rPr>
        <w:t>A covered operator shall at all times maintain unencumbered assets sufficient to satisfy the aggregate of participant account balances and the maximum aggregate settlement obligation on open positions.</w:t>
      </w:r>
    </w:p>
    <w:p>
      <w:pPr>
        <w:ind w:left="432" w:hanging="432"/>
        <w:jc w:val="both"/>
      </w:pPr>
      <w:r>
        <w:rPr>
          <w:rFonts w:ascii="Times New Roman" w:hAnsi="Times New Roman"/>
          <w:b/>
          <w:sz w:val="22"/>
        </w:rPr>
        <w:t xml:space="preserve">(c)  </w:t>
      </w:r>
      <w:r>
        <w:rPr>
          <w:rFonts w:ascii="Times New Roman" w:hAnsi="Times New Roman"/>
          <w:sz w:val="22"/>
        </w:rPr>
        <w:t>A covered operator shall not lend, pledge, hypothecate, or invest participant funds except in instruments permitted by applicable law for the custody of customer funds.</w:t>
      </w:r>
    </w:p>
    <w:p>
      <w:pPr>
        <w:ind w:left="432" w:hanging="432"/>
        <w:jc w:val="both"/>
      </w:pPr>
      <w:r>
        <w:rPr>
          <w:rFonts w:ascii="Times New Roman" w:hAnsi="Times New Roman"/>
          <w:b/>
          <w:sz w:val="22"/>
        </w:rPr>
        <w:t xml:space="preserve">(d)  </w:t>
      </w:r>
      <w:r>
        <w:rPr>
          <w:rFonts w:ascii="Times New Roman" w:hAnsi="Times New Roman"/>
          <w:sz w:val="22"/>
        </w:rPr>
        <w:t>A covered operator shall calculate and document its compliance with this section not less than daily, and shall report a deficiency to the assessor and to any applicable regulatory authority within one business day.</w:t>
      </w:r>
    </w:p>
    <w:p>
      <w:pPr>
        <w:pStyle w:val="Heading2"/>
      </w:pPr>
      <w:r>
        <w:rPr>
          <w:rFonts w:ascii="Times New Roman" w:hAnsi="Times New Roman"/>
          <w:b/>
          <w:color w:val="143C46"/>
          <w:sz w:val="23"/>
        </w:rPr>
        <w:t xml:space="preserve">§ 207.  </w:t>
      </w:r>
      <w:r>
        <w:rPr>
          <w:rFonts w:ascii="Times New Roman" w:hAnsi="Times New Roman"/>
          <w:b/>
          <w:color w:val="000000"/>
          <w:sz w:val="23"/>
        </w:rPr>
        <w:t>System standards</w:t>
      </w:r>
    </w:p>
    <w:p>
      <w:pPr>
        <w:ind w:left="432" w:hanging="432"/>
        <w:jc w:val="both"/>
      </w:pPr>
      <w:r>
        <w:rPr>
          <w:rFonts w:ascii="Times New Roman" w:hAnsi="Times New Roman"/>
          <w:b/>
          <w:sz w:val="22"/>
        </w:rPr>
        <w:t xml:space="preserve">(a)  </w:t>
      </w:r>
      <w:r>
        <w:rPr>
          <w:rFonts w:ascii="Times New Roman" w:hAnsi="Times New Roman"/>
          <w:sz w:val="22"/>
        </w:rPr>
        <w:t>A covered operator shall maintain systems that:</w:t>
      </w:r>
    </w:p>
    <w:p>
      <w:pPr>
        <w:ind w:left="864" w:hanging="432"/>
        <w:jc w:val="both"/>
      </w:pPr>
      <w:r>
        <w:rPr>
          <w:rFonts w:ascii="Times New Roman" w:hAnsi="Times New Roman"/>
          <w:b/>
          <w:sz w:val="22"/>
        </w:rPr>
        <w:t xml:space="preserve">(1)  </w:t>
      </w:r>
      <w:r>
        <w:rPr>
          <w:rFonts w:ascii="Times New Roman" w:hAnsi="Times New Roman"/>
          <w:sz w:val="22"/>
        </w:rPr>
        <w:t>accurately record each order, execution, position, deposit, withdrawal, and settlement, with a timestamp sufficient to reconstruct sequence;</w:t>
      </w:r>
    </w:p>
    <w:p>
      <w:pPr>
        <w:ind w:left="864" w:hanging="432"/>
        <w:jc w:val="both"/>
      </w:pPr>
      <w:r>
        <w:rPr>
          <w:rFonts w:ascii="Times New Roman" w:hAnsi="Times New Roman"/>
          <w:b/>
          <w:sz w:val="22"/>
        </w:rPr>
        <w:t xml:space="preserve">(2)  </w:t>
      </w:r>
      <w:r>
        <w:rPr>
          <w:rFonts w:ascii="Times New Roman" w:hAnsi="Times New Roman"/>
          <w:sz w:val="22"/>
        </w:rPr>
        <w:t>enforce every limit, exclusion, and restriction required by these Standards at the point of order entry, and not solely by post-hoc review;</w:t>
      </w:r>
    </w:p>
    <w:p>
      <w:pPr>
        <w:ind w:left="864" w:hanging="432"/>
        <w:jc w:val="both"/>
      </w:pPr>
      <w:r>
        <w:rPr>
          <w:rFonts w:ascii="Times New Roman" w:hAnsi="Times New Roman"/>
          <w:b/>
          <w:sz w:val="22"/>
        </w:rPr>
        <w:t xml:space="preserve">(3)  </w:t>
      </w:r>
      <w:r>
        <w:rPr>
          <w:rFonts w:ascii="Times New Roman" w:hAnsi="Times New Roman"/>
          <w:sz w:val="22"/>
        </w:rPr>
        <w:t>prevent an excluded participant from opening an account, entering an order, or depositing funds;</w:t>
      </w:r>
    </w:p>
    <w:p>
      <w:pPr>
        <w:ind w:left="864" w:hanging="432"/>
        <w:jc w:val="both"/>
      </w:pPr>
      <w:r>
        <w:rPr>
          <w:rFonts w:ascii="Times New Roman" w:hAnsi="Times New Roman"/>
          <w:b/>
          <w:sz w:val="22"/>
        </w:rPr>
        <w:t xml:space="preserve">(4)  </w:t>
      </w:r>
      <w:r>
        <w:rPr>
          <w:rFonts w:ascii="Times New Roman" w:hAnsi="Times New Roman"/>
          <w:sz w:val="22"/>
        </w:rPr>
        <w:t>remain capable of producing, on request, the complete activity history of any participant account; and</w:t>
      </w:r>
    </w:p>
    <w:p>
      <w:pPr>
        <w:ind w:left="864" w:hanging="432"/>
        <w:jc w:val="both"/>
      </w:pPr>
      <w:r>
        <w:rPr>
          <w:rFonts w:ascii="Times New Roman" w:hAnsi="Times New Roman"/>
          <w:b/>
          <w:sz w:val="22"/>
        </w:rPr>
        <w:t xml:space="preserve">(5)  </w:t>
      </w:r>
      <w:r>
        <w:rPr>
          <w:rFonts w:ascii="Times New Roman" w:hAnsi="Times New Roman"/>
          <w:sz w:val="22"/>
        </w:rPr>
        <w:t>fail in a manner that rejects orders rather than accepting them, where a control required by these Standards is unavailable.</w:t>
      </w:r>
    </w:p>
    <w:p>
      <w:pPr>
        <w:ind w:left="432" w:hanging="432"/>
        <w:jc w:val="both"/>
      </w:pPr>
      <w:r>
        <w:rPr>
          <w:rFonts w:ascii="Times New Roman" w:hAnsi="Times New Roman"/>
          <w:b/>
          <w:sz w:val="22"/>
        </w:rPr>
        <w:t xml:space="preserve">(b)  </w:t>
      </w:r>
      <w:r>
        <w:rPr>
          <w:rFonts w:ascii="Times New Roman" w:hAnsi="Times New Roman"/>
          <w:sz w:val="22"/>
        </w:rPr>
        <w:t>A covered operator shall submit a material change to a system governed by paragraph (a) to independent testing under § 208 before deployment.</w:t>
      </w:r>
    </w:p>
    <w:p>
      <w:pPr>
        <w:ind w:left="432" w:hanging="432"/>
        <w:jc w:val="both"/>
      </w:pPr>
      <w:r>
        <w:rPr>
          <w:rFonts w:ascii="Times New Roman" w:hAnsi="Times New Roman"/>
          <w:b/>
          <w:sz w:val="22"/>
        </w:rPr>
        <w:t xml:space="preserve">(c)  </w:t>
      </w:r>
      <w:r>
        <w:rPr>
          <w:rFonts w:ascii="Times New Roman" w:hAnsi="Times New Roman"/>
          <w:sz w:val="22"/>
        </w:rPr>
        <w:t>A covered operator shall document, and report under § 603, each incident in which a control required by these Standards failed, was bypassed, or was disabled.</w:t>
      </w:r>
    </w:p>
    <w:p>
      <w:pPr>
        <w:pStyle w:val="Heading2"/>
      </w:pPr>
      <w:r>
        <w:rPr>
          <w:rFonts w:ascii="Times New Roman" w:hAnsi="Times New Roman"/>
          <w:b/>
          <w:color w:val="143C46"/>
          <w:sz w:val="23"/>
        </w:rPr>
        <w:t xml:space="preserve">§ 208.  </w:t>
      </w:r>
      <w:r>
        <w:rPr>
          <w:rFonts w:ascii="Times New Roman" w:hAnsi="Times New Roman"/>
          <w:b/>
          <w:color w:val="000000"/>
          <w:sz w:val="23"/>
        </w:rPr>
        <w:t>Independent testing</w:t>
      </w:r>
    </w:p>
    <w:p>
      <w:pPr>
        <w:ind w:left="432" w:hanging="432"/>
        <w:jc w:val="both"/>
      </w:pPr>
      <w:r>
        <w:rPr>
          <w:rFonts w:ascii="Times New Roman" w:hAnsi="Times New Roman"/>
          <w:b/>
          <w:sz w:val="22"/>
        </w:rPr>
        <w:t xml:space="preserve">(a)  </w:t>
      </w:r>
      <w:r>
        <w:rPr>
          <w:rFonts w:ascii="Times New Roman" w:hAnsi="Times New Roman"/>
          <w:sz w:val="22"/>
        </w:rPr>
        <w:t>A covered operator shall obtain certification from an independent testing laboratory that its systems satisfy § 207. The laboratory shall be independent of the covered operator, shall not be an affiliate, and shall not have participated in the design or implementation of the systems tested.</w:t>
      </w:r>
    </w:p>
    <w:p>
      <w:pPr>
        <w:ind w:left="432" w:hanging="432"/>
        <w:jc w:val="both"/>
      </w:pPr>
      <w:r>
        <w:rPr>
          <w:rFonts w:ascii="Times New Roman" w:hAnsi="Times New Roman"/>
          <w:b/>
          <w:sz w:val="22"/>
        </w:rPr>
        <w:t xml:space="preserve">(b)  </w:t>
      </w:r>
      <w:r>
        <w:rPr>
          <w:rFonts w:ascii="Times New Roman" w:hAnsi="Times New Roman"/>
          <w:sz w:val="22"/>
        </w:rPr>
        <w:t>Certification shall be renewed not less than every two years and upon any material change under § 207(b).</w:t>
      </w:r>
    </w:p>
    <w:p>
      <w:pPr>
        <w:spacing w:before="240"/>
        <w:pBdr>
          <w:top w:val="single" w:sz="4" w:space="6" w:color="8A8A8A"/>
        </w:pBdr>
      </w:pPr>
      <w:r>
        <w:rPr>
          <w:rFonts w:ascii="Times New Roman" w:hAnsi="Times New Roman"/>
          <w:i/>
          <w:color w:val="555555"/>
          <w:sz w:val="17"/>
        </w:rPr>
        <w:t>Basis: 25 C.F.R. pt. 543 (NIGC Minimum Internal Control Standards for Class II Gaming); 25 C.F.R. pt. 547; 17 C.F.R. pt. 38; Ohio Admin. Code 3775-9-01, 3775-15-01, 3775-16-01, 3775-16-02, 3775-16-06, 3775-16-15; N.J.A.C. 13:69D; N.J.A.C. 13:69O-1.2; UKGC Remote Gambling and Software Technical Standards.</w:t>
      </w:r>
    </w:p>
    <w:p>
      <w:r>
        <w:br w:type="page"/>
      </w:r>
    </w:p>
    <w:p>
      <w:pPr>
        <w:spacing w:after="40"/>
      </w:pPr>
      <w:r>
        <w:rPr>
          <w:rFonts w:ascii="Calibri" w:hAnsi="Calibri"/>
          <w:b/>
          <w:color w:val="143C46"/>
          <w:sz w:val="18"/>
        </w:rPr>
        <w:t>PART 300</w:t>
      </w:r>
    </w:p>
    <w:p>
      <w:pPr>
        <w:pStyle w:val="Heading1"/>
        <w:spacing w:before="0"/>
        <w:pBdr>
          <w:bottom w:val="single" w:sz="8" w:space="6" w:color="143C46"/>
        </w:pBdr>
      </w:pPr>
      <w:r>
        <w:rPr>
          <w:rFonts w:ascii="Times New Roman" w:hAnsi="Times New Roman"/>
          <w:b/>
          <w:color w:val="000000"/>
          <w:sz w:val="30"/>
        </w:rPr>
        <w:t>Consumer Protection Standards</w:t>
      </w:r>
    </w:p>
    <w:p>
      <w:pPr>
        <w:pStyle w:val="Heading2"/>
      </w:pPr>
      <w:r>
        <w:rPr>
          <w:rFonts w:ascii="Times New Roman" w:hAnsi="Times New Roman"/>
          <w:b/>
          <w:color w:val="143C46"/>
          <w:sz w:val="23"/>
        </w:rPr>
        <w:t xml:space="preserve">§ 301.  </w:t>
      </w:r>
      <w:r>
        <w:rPr>
          <w:rFonts w:ascii="Times New Roman" w:hAnsi="Times New Roman"/>
          <w:b/>
          <w:color w:val="000000"/>
          <w:sz w:val="23"/>
        </w:rPr>
        <w:t>Exclusion program</w:t>
      </w:r>
    </w:p>
    <w:p>
      <w:pPr>
        <w:ind w:left="432" w:hanging="432"/>
        <w:jc w:val="both"/>
      </w:pPr>
      <w:r>
        <w:rPr>
          <w:rFonts w:ascii="Times New Roman" w:hAnsi="Times New Roman"/>
          <w:b/>
          <w:sz w:val="22"/>
        </w:rPr>
        <w:t xml:space="preserve">(a)  </w:t>
      </w:r>
      <w:r>
        <w:rPr>
          <w:rFonts w:ascii="Times New Roman" w:hAnsi="Times New Roman"/>
          <w:b/>
          <w:sz w:val="22"/>
        </w:rPr>
        <w:t>Availability.</w:t>
      </w:r>
      <w:r>
        <w:rPr>
          <w:rFonts w:ascii="Times New Roman" w:hAnsi="Times New Roman"/>
          <w:sz w:val="22"/>
        </w:rPr>
        <w:t xml:space="preserve"> A covered operator shall enable a participant to enroll in an exclusion program at any time, through the same platform on which the participant trades, without contacting customer service and without a waiting period. Enrollment shall not be conditioned on the participant closing positions, withdrawing funds, or providing a reason.</w:t>
      </w:r>
    </w:p>
    <w:p>
      <w:pPr>
        <w:ind w:left="432" w:hanging="432"/>
        <w:jc w:val="both"/>
      </w:pPr>
      <w:r>
        <w:rPr>
          <w:rFonts w:ascii="Times New Roman" w:hAnsi="Times New Roman"/>
          <w:b/>
          <w:sz w:val="22"/>
        </w:rPr>
        <w:t xml:space="preserve">(b)  </w:t>
      </w:r>
      <w:r>
        <w:rPr>
          <w:rFonts w:ascii="Times New Roman" w:hAnsi="Times New Roman"/>
          <w:b/>
          <w:sz w:val="22"/>
        </w:rPr>
        <w:t>Terms.</w:t>
      </w:r>
      <w:r>
        <w:rPr>
          <w:rFonts w:ascii="Times New Roman" w:hAnsi="Times New Roman"/>
          <w:sz w:val="22"/>
        </w:rPr>
        <w:t xml:space="preserve"> A covered operator shall offer, at minimum, exclusion terms of one year, five years, and lifetime. A participant may at any time extend the term of an exclusion. A participant may not shorten an exclusion term once elected.</w:t>
      </w:r>
    </w:p>
    <w:p>
      <w:pPr>
        <w:ind w:left="432" w:hanging="432"/>
        <w:jc w:val="both"/>
      </w:pPr>
      <w:r>
        <w:rPr>
          <w:rFonts w:ascii="Times New Roman" w:hAnsi="Times New Roman"/>
          <w:b/>
          <w:sz w:val="22"/>
        </w:rPr>
        <w:t xml:space="preserve">(c)  </w:t>
      </w:r>
      <w:r>
        <w:rPr>
          <w:rFonts w:ascii="Times New Roman" w:hAnsi="Times New Roman"/>
          <w:b/>
          <w:sz w:val="22"/>
        </w:rPr>
        <w:t>Effect on account access.</w:t>
      </w:r>
      <w:r>
        <w:rPr>
          <w:rFonts w:ascii="Times New Roman" w:hAnsi="Times New Roman"/>
          <w:sz w:val="22"/>
        </w:rPr>
        <w:t xml:space="preserve"> Upon enrollment a covered operator shall immediately:</w:t>
      </w:r>
    </w:p>
    <w:p>
      <w:pPr>
        <w:ind w:left="864" w:hanging="432"/>
        <w:jc w:val="both"/>
      </w:pPr>
      <w:r>
        <w:rPr>
          <w:rFonts w:ascii="Times New Roman" w:hAnsi="Times New Roman"/>
          <w:b/>
          <w:sz w:val="22"/>
        </w:rPr>
        <w:t xml:space="preserve">(1)  </w:t>
      </w:r>
      <w:r>
        <w:rPr>
          <w:rFonts w:ascii="Times New Roman" w:hAnsi="Times New Roman"/>
          <w:sz w:val="22"/>
        </w:rPr>
        <w:t>cancel all of the participant's resting orders;</w:t>
      </w:r>
    </w:p>
    <w:p>
      <w:pPr>
        <w:ind w:left="864" w:hanging="432"/>
        <w:jc w:val="both"/>
      </w:pPr>
      <w:r>
        <w:rPr>
          <w:rFonts w:ascii="Times New Roman" w:hAnsi="Times New Roman"/>
          <w:b/>
          <w:sz w:val="22"/>
        </w:rPr>
        <w:t xml:space="preserve">(2)  </w:t>
      </w:r>
      <w:r>
        <w:rPr>
          <w:rFonts w:ascii="Times New Roman" w:hAnsi="Times New Roman"/>
          <w:sz w:val="22"/>
        </w:rPr>
        <w:t>block entry of any new order that would open a position or increase an existing position;</w:t>
      </w:r>
    </w:p>
    <w:p>
      <w:pPr>
        <w:ind w:left="864" w:hanging="432"/>
        <w:jc w:val="both"/>
      </w:pPr>
      <w:r>
        <w:rPr>
          <w:rFonts w:ascii="Times New Roman" w:hAnsi="Times New Roman"/>
          <w:b/>
          <w:sz w:val="22"/>
        </w:rPr>
        <w:t xml:space="preserve">(3)  </w:t>
      </w:r>
      <w:r>
        <w:rPr>
          <w:rFonts w:ascii="Times New Roman" w:hAnsi="Times New Roman"/>
          <w:sz w:val="22"/>
        </w:rPr>
        <w:t>block all deposits; and</w:t>
      </w:r>
    </w:p>
    <w:p>
      <w:pPr>
        <w:ind w:left="864" w:hanging="432"/>
        <w:jc w:val="both"/>
      </w:pPr>
      <w:r>
        <w:rPr>
          <w:rFonts w:ascii="Times New Roman" w:hAnsi="Times New Roman"/>
          <w:b/>
          <w:sz w:val="22"/>
        </w:rPr>
        <w:t xml:space="preserve">(4)  </w:t>
      </w:r>
      <w:r>
        <w:rPr>
          <w:rFonts w:ascii="Times New Roman" w:hAnsi="Times New Roman"/>
          <w:sz w:val="22"/>
        </w:rPr>
        <w:t>block access to credit, complimentary services, promotional credit, and any loyalty or tier benefit.</w:t>
      </w:r>
    </w:p>
    <w:p>
      <w:pPr>
        <w:ind w:left="432" w:hanging="432"/>
        <w:jc w:val="both"/>
      </w:pPr>
      <w:r>
        <w:rPr>
          <w:rFonts w:ascii="Times New Roman" w:hAnsi="Times New Roman"/>
          <w:b/>
          <w:sz w:val="22"/>
        </w:rPr>
        <w:t xml:space="preserve">(d)  </w:t>
      </w:r>
      <w:r>
        <w:rPr>
          <w:rFonts w:ascii="Times New Roman" w:hAnsi="Times New Roman"/>
          <w:b/>
          <w:sz w:val="22"/>
        </w:rPr>
        <w:t>Effect on open positions.</w:t>
      </w:r>
      <w:r>
        <w:rPr>
          <w:rFonts w:ascii="Times New Roman" w:hAnsi="Times New Roman"/>
          <w:sz w:val="22"/>
        </w:rPr>
        <w:t xml:space="preserve"> A covered operator shall not void, cancel, or involuntarily close a participant's open position solely by reason of the participant's enrollment in an exclusion program. The excluded participant retains the right to receive any amount owed on a position, including amounts becoming due on settlement, and may elect either to hold the position to settlement or to close or reduce it. A covered operator shall permit an order that closes or reduces an open position notwithstanding paragraph (c)(2), and shall permit withdrawal of the resulting proceeds.</w:t>
      </w:r>
    </w:p>
    <w:p>
      <w:pPr>
        <w:spacing w:before="200" w:after="200"/>
        <w:ind w:left="360" w:right="288"/>
        <w:pBdr>
          <w:top w:val="single" w:sz="4" w:space="8" w:color="B9C6CA"/>
          <w:bottom w:val="single" w:sz="4" w:space="8" w:color="B9C6CA"/>
          <w:left w:val="single" w:sz="4" w:space="8" w:color="B9C6CA"/>
          <w:right w:val="single" w:sz="4" w:space="8" w:color="B9C6CA"/>
        </w:pBdr>
        <w:shd w:val="clear" w:color="auto" w:fill="F2F6F7"/>
      </w:pPr>
      <w:r>
        <w:rPr>
          <w:rFonts w:ascii="Calibri" w:hAnsi="Calibri"/>
          <w:b/>
          <w:color w:val="143C46"/>
          <w:sz w:val="16"/>
        </w:rPr>
        <w:t>DRAFTING NOTE</w:t>
        <w:br/>
      </w:r>
      <w:r>
        <w:rPr>
          <w:rFonts w:ascii="Times New Roman" w:hAnsi="Times New Roman"/>
          <w:sz w:val="20"/>
        </w:rPr>
        <w:t>Paragraph (d) is the point at which prediction markets depart from every existing self-exclusion regime. A sports wager cannot be sold, so Ohio Admin. Code 3772-12-03(C) and 3772-12-04(I) need only preserve the participant's right to be paid on a pending wager. A position in a covered contract is tradeable, and an excluded participant who cannot close it is exposed to continuing market risk they have asked to stop taking. Blocking all order entry therefore harms the participant it is meant to protect. Permitting only risk-reducing orders resolves this. Comment is invited on whether a covered operator should instead be required to offer a one-time liquidation at a reference price.</w:t>
      </w:r>
    </w:p>
    <w:p>
      <w:pPr>
        <w:ind w:left="432" w:hanging="432"/>
        <w:jc w:val="both"/>
      </w:pPr>
      <w:r>
        <w:rPr>
          <w:rFonts w:ascii="Times New Roman" w:hAnsi="Times New Roman"/>
          <w:b/>
          <w:sz w:val="22"/>
        </w:rPr>
        <w:t xml:space="preserve">(e)  </w:t>
      </w:r>
      <w:r>
        <w:rPr>
          <w:rFonts w:ascii="Times New Roman" w:hAnsi="Times New Roman"/>
          <w:b/>
          <w:sz w:val="22"/>
        </w:rPr>
        <w:t>Marketing.</w:t>
      </w:r>
      <w:r>
        <w:rPr>
          <w:rFonts w:ascii="Times New Roman" w:hAnsi="Times New Roman"/>
          <w:sz w:val="22"/>
        </w:rPr>
        <w:t xml:space="preserve"> A covered operator shall cease all direct marketing to an excluded participant not later than fifteen days after enrollment, and shall exclude the participant from all marketing audiences, including audiences constructed by an affiliate or a third-party advertising service.</w:t>
      </w:r>
    </w:p>
    <w:p>
      <w:pPr>
        <w:ind w:left="432" w:hanging="432"/>
        <w:jc w:val="both"/>
      </w:pPr>
      <w:r>
        <w:rPr>
          <w:rFonts w:ascii="Times New Roman" w:hAnsi="Times New Roman"/>
          <w:b/>
          <w:sz w:val="22"/>
        </w:rPr>
        <w:t xml:space="preserve">(f)  </w:t>
      </w:r>
      <w:r>
        <w:rPr>
          <w:rFonts w:ascii="Times New Roman" w:hAnsi="Times New Roman"/>
          <w:b/>
          <w:sz w:val="22"/>
        </w:rPr>
        <w:t>Reinstatement.</w:t>
      </w:r>
      <w:r>
        <w:rPr>
          <w:rFonts w:ascii="Times New Roman" w:hAnsi="Times New Roman"/>
          <w:sz w:val="22"/>
        </w:rPr>
        <w:t xml:space="preserve"> A covered operator shall not remove a participant from an exclusion program automatically at the expiration of the elected term. Removal requires an affirmative, unaltered application by the participant made after the term has expired. For a lifetime exclusion, removal additionally requires that not less than five years have elapsed and that the participant has completed a problem gambling awareness program.</w:t>
      </w:r>
    </w:p>
    <w:p>
      <w:pPr>
        <w:ind w:left="432" w:hanging="432"/>
        <w:jc w:val="both"/>
      </w:pPr>
      <w:r>
        <w:rPr>
          <w:rFonts w:ascii="Times New Roman" w:hAnsi="Times New Roman"/>
          <w:b/>
          <w:sz w:val="22"/>
        </w:rPr>
        <w:t xml:space="preserve">(g)  </w:t>
      </w:r>
      <w:r>
        <w:rPr>
          <w:rFonts w:ascii="Times New Roman" w:hAnsi="Times New Roman"/>
          <w:b/>
          <w:sz w:val="22"/>
        </w:rPr>
        <w:t>Confidentiality.</w:t>
      </w:r>
      <w:r>
        <w:rPr>
          <w:rFonts w:ascii="Times New Roman" w:hAnsi="Times New Roman"/>
          <w:sz w:val="22"/>
        </w:rPr>
        <w:t xml:space="preserve"> A covered operator shall maintain the identity of an excluded participant in confidence and shall use exclusion data only for the purposes of these Standards.</w:t>
      </w:r>
    </w:p>
    <w:p>
      <w:pPr>
        <w:ind w:left="432" w:hanging="432"/>
        <w:jc w:val="both"/>
      </w:pPr>
      <w:r>
        <w:rPr>
          <w:rFonts w:ascii="Times New Roman" w:hAnsi="Times New Roman"/>
          <w:b/>
          <w:sz w:val="22"/>
        </w:rPr>
        <w:t xml:space="preserve">(h)  </w:t>
      </w:r>
      <w:r>
        <w:rPr>
          <w:rFonts w:ascii="Times New Roman" w:hAnsi="Times New Roman"/>
          <w:b/>
          <w:sz w:val="22"/>
        </w:rPr>
        <w:t>Interoperability.</w:t>
      </w:r>
      <w:r>
        <w:rPr>
          <w:rFonts w:ascii="Times New Roman" w:hAnsi="Times New Roman"/>
          <w:sz w:val="22"/>
        </w:rPr>
        <w:t xml:space="preserve"> A covered operator shall honor an exclusion recorded in any national or multi-operator exclusion program to which it is subject, and shall support transmission of an exclusion to such a program.</w:t>
      </w:r>
    </w:p>
    <w:p>
      <w:pPr>
        <w:pStyle w:val="Heading2"/>
      </w:pPr>
      <w:r>
        <w:rPr>
          <w:rFonts w:ascii="Times New Roman" w:hAnsi="Times New Roman"/>
          <w:b/>
          <w:color w:val="143C46"/>
          <w:sz w:val="23"/>
        </w:rPr>
        <w:t xml:space="preserve">§ 302.  </w:t>
      </w:r>
      <w:r>
        <w:rPr>
          <w:rFonts w:ascii="Times New Roman" w:hAnsi="Times New Roman"/>
          <w:b/>
          <w:color w:val="000000"/>
          <w:sz w:val="23"/>
        </w:rPr>
        <w:t>Financial and time limits</w:t>
      </w:r>
    </w:p>
    <w:p>
      <w:pPr>
        <w:ind w:left="432" w:hanging="432"/>
        <w:jc w:val="both"/>
      </w:pPr>
      <w:r>
        <w:rPr>
          <w:rFonts w:ascii="Times New Roman" w:hAnsi="Times New Roman"/>
          <w:b/>
          <w:sz w:val="22"/>
        </w:rPr>
        <w:t xml:space="preserve">(a)  </w:t>
      </w:r>
      <w:r>
        <w:rPr>
          <w:rFonts w:ascii="Times New Roman" w:hAnsi="Times New Roman"/>
          <w:sz w:val="22"/>
        </w:rPr>
        <w:t>A covered operator shall enable a participant to set each of the following, at durations of twenty-four hours, seven days, and one month:</w:t>
      </w:r>
    </w:p>
    <w:p>
      <w:pPr>
        <w:ind w:left="864" w:hanging="432"/>
        <w:jc w:val="both"/>
      </w:pPr>
      <w:r>
        <w:rPr>
          <w:rFonts w:ascii="Times New Roman" w:hAnsi="Times New Roman"/>
          <w:b/>
          <w:sz w:val="22"/>
        </w:rPr>
        <w:t xml:space="preserve">(1)  </w:t>
      </w:r>
      <w:r>
        <w:rPr>
          <w:rFonts w:ascii="Times New Roman" w:hAnsi="Times New Roman"/>
          <w:sz w:val="22"/>
        </w:rPr>
        <w:t xml:space="preserve">a </w:t>
      </w:r>
      <w:r>
        <w:rPr>
          <w:rFonts w:ascii="Times New Roman" w:hAnsi="Times New Roman"/>
          <w:b/>
          <w:sz w:val="22"/>
        </w:rPr>
        <w:t>deposit limit</w:t>
      </w:r>
      <w:r>
        <w:rPr>
          <w:rFonts w:ascii="Times New Roman" w:hAnsi="Times New Roman"/>
          <w:sz w:val="22"/>
        </w:rPr>
        <w:t>, capping funds credited to the account;</w:t>
      </w:r>
    </w:p>
    <w:p>
      <w:pPr>
        <w:ind w:left="864" w:hanging="432"/>
        <w:jc w:val="both"/>
      </w:pPr>
      <w:r>
        <w:rPr>
          <w:rFonts w:ascii="Times New Roman" w:hAnsi="Times New Roman"/>
          <w:b/>
          <w:sz w:val="22"/>
        </w:rPr>
        <w:t xml:space="preserve">(2)  </w:t>
      </w:r>
      <w:r>
        <w:rPr>
          <w:rFonts w:ascii="Times New Roman" w:hAnsi="Times New Roman"/>
          <w:sz w:val="22"/>
        </w:rPr>
        <w:t xml:space="preserve">a </w:t>
      </w:r>
      <w:r>
        <w:rPr>
          <w:rFonts w:ascii="Times New Roman" w:hAnsi="Times New Roman"/>
          <w:b/>
          <w:sz w:val="22"/>
        </w:rPr>
        <w:t>spend limit</w:t>
      </w:r>
      <w:r>
        <w:rPr>
          <w:rFonts w:ascii="Times New Roman" w:hAnsi="Times New Roman"/>
          <w:sz w:val="22"/>
        </w:rPr>
        <w:t>, capping funds placed at risk; and</w:t>
      </w:r>
    </w:p>
    <w:p>
      <w:pPr>
        <w:ind w:left="864" w:hanging="432"/>
        <w:jc w:val="both"/>
      </w:pPr>
      <w:r>
        <w:rPr>
          <w:rFonts w:ascii="Times New Roman" w:hAnsi="Times New Roman"/>
          <w:b/>
          <w:sz w:val="22"/>
        </w:rPr>
        <w:t xml:space="preserve">(3)  </w:t>
      </w:r>
      <w:r>
        <w:rPr>
          <w:rFonts w:ascii="Times New Roman" w:hAnsi="Times New Roman"/>
          <w:sz w:val="22"/>
        </w:rPr>
        <w:t xml:space="preserve">a </w:t>
      </w:r>
      <w:r>
        <w:rPr>
          <w:rFonts w:ascii="Times New Roman" w:hAnsi="Times New Roman"/>
          <w:b/>
          <w:sz w:val="22"/>
        </w:rPr>
        <w:t>loss limit</w:t>
      </w:r>
      <w:r>
        <w:rPr>
          <w:rFonts w:ascii="Times New Roman" w:hAnsi="Times New Roman"/>
          <w:sz w:val="22"/>
        </w:rPr>
        <w:t>, capping net losses.</w:t>
      </w:r>
    </w:p>
    <w:p>
      <w:pPr>
        <w:ind w:left="432" w:hanging="432"/>
        <w:jc w:val="both"/>
      </w:pPr>
      <w:r>
        <w:rPr>
          <w:rFonts w:ascii="Times New Roman" w:hAnsi="Times New Roman"/>
          <w:b/>
          <w:sz w:val="22"/>
        </w:rPr>
        <w:t xml:space="preserve">(b)  </w:t>
      </w:r>
      <w:r>
        <w:rPr>
          <w:rFonts w:ascii="Times New Roman" w:hAnsi="Times New Roman"/>
          <w:sz w:val="22"/>
        </w:rPr>
        <w:t xml:space="preserve">A covered operator shall enable a participant to set a </w:t>
      </w:r>
      <w:r>
        <w:rPr>
          <w:rFonts w:ascii="Times New Roman" w:hAnsi="Times New Roman"/>
          <w:b/>
          <w:sz w:val="22"/>
        </w:rPr>
        <w:t>session time limit</w:t>
      </w:r>
      <w:r>
        <w:rPr>
          <w:rFonts w:ascii="Times New Roman" w:hAnsi="Times New Roman"/>
          <w:sz w:val="22"/>
        </w:rPr>
        <w:t xml:space="preserve"> on a daily basis.</w:t>
      </w:r>
    </w:p>
    <w:p>
      <w:pPr>
        <w:ind w:left="432" w:hanging="432"/>
        <w:jc w:val="both"/>
      </w:pPr>
      <w:r>
        <w:rPr>
          <w:rFonts w:ascii="Times New Roman" w:hAnsi="Times New Roman"/>
          <w:b/>
          <w:sz w:val="22"/>
        </w:rPr>
        <w:t xml:space="preserve">(c)  </w:t>
      </w:r>
      <w:r>
        <w:rPr>
          <w:rFonts w:ascii="Times New Roman" w:hAnsi="Times New Roman"/>
          <w:sz w:val="22"/>
        </w:rPr>
        <w:t>A covered operator shall prompt the participant to set a limit under paragraph (a) at registration or at the point of first deposit, whichever occurs first.</w:t>
      </w:r>
    </w:p>
    <w:p>
      <w:pPr>
        <w:ind w:left="432" w:hanging="432"/>
        <w:jc w:val="both"/>
      </w:pPr>
      <w:r>
        <w:rPr>
          <w:rFonts w:ascii="Times New Roman" w:hAnsi="Times New Roman"/>
          <w:b/>
          <w:sz w:val="22"/>
        </w:rPr>
        <w:t xml:space="preserve">(d)  </w:t>
      </w:r>
      <w:r>
        <w:rPr>
          <w:rFonts w:ascii="Times New Roman" w:hAnsi="Times New Roman"/>
          <w:b/>
          <w:sz w:val="22"/>
        </w:rPr>
        <w:t>Asymmetry.</w:t>
      </w:r>
      <w:r>
        <w:rPr>
          <w:rFonts w:ascii="Times New Roman" w:hAnsi="Times New Roman"/>
          <w:sz w:val="22"/>
        </w:rPr>
        <w:t xml:space="preserve"> A decrease in a limit shall take effect immediately, and in no case later than the participant's next log-in. An increase in a limit shall take effect only after the period of the existing limit has expired and the participant has reaffirmed the increase after that expiry.</w:t>
      </w:r>
    </w:p>
    <w:p>
      <w:pPr>
        <w:ind w:left="432" w:hanging="432"/>
        <w:jc w:val="both"/>
      </w:pPr>
      <w:r>
        <w:rPr>
          <w:rFonts w:ascii="Times New Roman" w:hAnsi="Times New Roman"/>
          <w:b/>
          <w:sz w:val="22"/>
        </w:rPr>
        <w:t xml:space="preserve">(e)  </w:t>
      </w:r>
      <w:r>
        <w:rPr>
          <w:rFonts w:ascii="Times New Roman" w:hAnsi="Times New Roman"/>
          <w:sz w:val="22"/>
        </w:rPr>
        <w:t>Where a participant has set limits of differing durations, the most restrictive applicable limit governs.</w:t>
      </w:r>
    </w:p>
    <w:p>
      <w:pPr>
        <w:ind w:left="432" w:hanging="432"/>
        <w:jc w:val="both"/>
      </w:pPr>
      <w:r>
        <w:rPr>
          <w:rFonts w:ascii="Times New Roman" w:hAnsi="Times New Roman"/>
          <w:b/>
          <w:sz w:val="22"/>
        </w:rPr>
        <w:t xml:space="preserve">(f)  </w:t>
      </w:r>
      <w:r>
        <w:rPr>
          <w:rFonts w:ascii="Times New Roman" w:hAnsi="Times New Roman"/>
          <w:sz w:val="22"/>
        </w:rPr>
        <w:t>A covered operator shall enforce a limit at the point of order entry or deposit, and shall inform the participant of the limit that caused a rejection.</w:t>
      </w:r>
    </w:p>
    <w:p>
      <w:pPr>
        <w:ind w:left="432" w:hanging="432"/>
        <w:jc w:val="both"/>
      </w:pPr>
      <w:r>
        <w:rPr>
          <w:rFonts w:ascii="Times New Roman" w:hAnsi="Times New Roman"/>
          <w:b/>
          <w:sz w:val="22"/>
        </w:rPr>
        <w:t xml:space="preserve">(g)  </w:t>
      </w:r>
      <w:r>
        <w:rPr>
          <w:rFonts w:ascii="Times New Roman" w:hAnsi="Times New Roman"/>
          <w:sz w:val="22"/>
        </w:rPr>
        <w:t>A covered operator shall enable a participant to suspend the account for a period of not less than seventy-two hours. Paragraphs (c) and (d) of § 301 apply during a suspension.</w:t>
      </w:r>
    </w:p>
    <w:p>
      <w:pPr>
        <w:pStyle w:val="Heading2"/>
      </w:pPr>
      <w:r>
        <w:rPr>
          <w:rFonts w:ascii="Times New Roman" w:hAnsi="Times New Roman"/>
          <w:b/>
          <w:color w:val="143C46"/>
          <w:sz w:val="23"/>
        </w:rPr>
        <w:t xml:space="preserve">§ 303.  </w:t>
      </w:r>
      <w:r>
        <w:rPr>
          <w:rFonts w:ascii="Times New Roman" w:hAnsi="Times New Roman"/>
          <w:b/>
          <w:color w:val="000000"/>
          <w:sz w:val="23"/>
        </w:rPr>
        <w:t>Participant disclosure</w:t>
      </w:r>
    </w:p>
    <w:p>
      <w:pPr>
        <w:ind w:left="432" w:hanging="432"/>
        <w:jc w:val="both"/>
      </w:pPr>
      <w:r>
        <w:rPr>
          <w:rFonts w:ascii="Times New Roman" w:hAnsi="Times New Roman"/>
          <w:b/>
          <w:sz w:val="22"/>
        </w:rPr>
        <w:t xml:space="preserve">(a)  </w:t>
      </w:r>
      <w:r>
        <w:rPr>
          <w:rFonts w:ascii="Times New Roman" w:hAnsi="Times New Roman"/>
          <w:sz w:val="22"/>
        </w:rPr>
        <w:t>A covered operator shall disclose, clearly and conspicuously, before a participant's first order and at all times thereafter through a persistently accessible page:</w:t>
      </w:r>
    </w:p>
    <w:p>
      <w:pPr>
        <w:ind w:left="864" w:hanging="432"/>
        <w:jc w:val="both"/>
      </w:pPr>
      <w:r>
        <w:rPr>
          <w:rFonts w:ascii="Times New Roman" w:hAnsi="Times New Roman"/>
          <w:b/>
          <w:sz w:val="22"/>
        </w:rPr>
        <w:t xml:space="preserve">(1)  </w:t>
      </w:r>
      <w:r>
        <w:rPr>
          <w:rFonts w:ascii="Times New Roman" w:hAnsi="Times New Roman"/>
          <w:sz w:val="22"/>
        </w:rPr>
        <w:t>that a covered contract carries risk of total loss of the amount at risk;</w:t>
      </w:r>
    </w:p>
    <w:p>
      <w:pPr>
        <w:ind w:left="864" w:hanging="432"/>
        <w:jc w:val="both"/>
      </w:pPr>
      <w:r>
        <w:rPr>
          <w:rFonts w:ascii="Times New Roman" w:hAnsi="Times New Roman"/>
          <w:b/>
          <w:sz w:val="22"/>
        </w:rPr>
        <w:t xml:space="preserve">(2)  </w:t>
      </w:r>
      <w:r>
        <w:rPr>
          <w:rFonts w:ascii="Times New Roman" w:hAnsi="Times New Roman"/>
          <w:sz w:val="22"/>
        </w:rPr>
        <w:t>all fees, commissions, spreads, and charges, including any charge applied on settlement or withdrawal;</w:t>
      </w:r>
    </w:p>
    <w:p>
      <w:pPr>
        <w:ind w:left="864" w:hanging="432"/>
        <w:jc w:val="both"/>
      </w:pPr>
      <w:r>
        <w:rPr>
          <w:rFonts w:ascii="Times New Roman" w:hAnsi="Times New Roman"/>
          <w:b/>
          <w:sz w:val="22"/>
        </w:rPr>
        <w:t xml:space="preserve">(3)  </w:t>
      </w:r>
      <w:r>
        <w:rPr>
          <w:rFonts w:ascii="Times New Roman" w:hAnsi="Times New Roman"/>
          <w:sz w:val="22"/>
        </w:rPr>
        <w:t>the participant's right to set limits under § 302 and to enroll in an exclusion program under § 301, with direct links to both;</w:t>
      </w:r>
    </w:p>
    <w:p>
      <w:pPr>
        <w:ind w:left="864" w:hanging="432"/>
        <w:jc w:val="both"/>
      </w:pPr>
      <w:r>
        <w:rPr>
          <w:rFonts w:ascii="Times New Roman" w:hAnsi="Times New Roman"/>
          <w:b/>
          <w:sz w:val="22"/>
        </w:rPr>
        <w:t xml:space="preserve">(4)  </w:t>
      </w:r>
      <w:r>
        <w:rPr>
          <w:rFonts w:ascii="Times New Roman" w:hAnsi="Times New Roman"/>
          <w:sz w:val="22"/>
        </w:rPr>
        <w:t>the covered operator's dormancy policy and its consequences for account balances and open positions;</w:t>
      </w:r>
    </w:p>
    <w:p>
      <w:pPr>
        <w:ind w:left="864" w:hanging="432"/>
        <w:jc w:val="both"/>
      </w:pPr>
      <w:r>
        <w:rPr>
          <w:rFonts w:ascii="Times New Roman" w:hAnsi="Times New Roman"/>
          <w:b/>
          <w:sz w:val="22"/>
        </w:rPr>
        <w:t xml:space="preserve">(5)  </w:t>
      </w:r>
      <w:r>
        <w:rPr>
          <w:rFonts w:ascii="Times New Roman" w:hAnsi="Times New Roman"/>
          <w:sz w:val="22"/>
        </w:rPr>
        <w:t>the treatment of a position on system malfunction or disconnection;</w:t>
      </w:r>
    </w:p>
    <w:p>
      <w:pPr>
        <w:ind w:left="864" w:hanging="432"/>
        <w:jc w:val="both"/>
      </w:pPr>
      <w:r>
        <w:rPr>
          <w:rFonts w:ascii="Times New Roman" w:hAnsi="Times New Roman"/>
          <w:b/>
          <w:sz w:val="22"/>
        </w:rPr>
        <w:t xml:space="preserve">(6)  </w:t>
      </w:r>
      <w:r>
        <w:rPr>
          <w:rFonts w:ascii="Times New Roman" w:hAnsi="Times New Roman"/>
          <w:sz w:val="22"/>
        </w:rPr>
        <w:t>the expected time to withdraw funds;</w:t>
      </w:r>
    </w:p>
    <w:p>
      <w:pPr>
        <w:ind w:left="864" w:hanging="432"/>
        <w:jc w:val="both"/>
      </w:pPr>
      <w:r>
        <w:rPr>
          <w:rFonts w:ascii="Times New Roman" w:hAnsi="Times New Roman"/>
          <w:b/>
          <w:sz w:val="22"/>
        </w:rPr>
        <w:t xml:space="preserve">(7)  </w:t>
      </w:r>
      <w:r>
        <w:rPr>
          <w:rFonts w:ascii="Times New Roman" w:hAnsi="Times New Roman"/>
          <w:sz w:val="22"/>
        </w:rPr>
        <w:t>the complaint procedure under § 305 and the applicable regulatory authority, if any, with contact information; and</w:t>
      </w:r>
    </w:p>
    <w:p>
      <w:pPr>
        <w:ind w:left="864" w:hanging="432"/>
        <w:jc w:val="both"/>
      </w:pPr>
      <w:r>
        <w:rPr>
          <w:rFonts w:ascii="Times New Roman" w:hAnsi="Times New Roman"/>
          <w:b/>
          <w:sz w:val="22"/>
        </w:rPr>
        <w:t xml:space="preserve">(8)  </w:t>
      </w:r>
      <w:r>
        <w:rPr>
          <w:rFonts w:ascii="Times New Roman" w:hAnsi="Times New Roman"/>
          <w:sz w:val="22"/>
        </w:rPr>
        <w:t>problem gambling help resources, including a free national helpline.</w:t>
      </w:r>
    </w:p>
    <w:p>
      <w:pPr>
        <w:ind w:left="432" w:hanging="432"/>
        <w:jc w:val="both"/>
      </w:pPr>
      <w:r>
        <w:rPr>
          <w:rFonts w:ascii="Times New Roman" w:hAnsi="Times New Roman"/>
          <w:b/>
          <w:sz w:val="22"/>
        </w:rPr>
        <w:t xml:space="preserve">(b)  </w:t>
      </w:r>
      <w:r>
        <w:rPr>
          <w:rFonts w:ascii="Times New Roman" w:hAnsi="Times New Roman"/>
          <w:sz w:val="22"/>
        </w:rPr>
        <w:t>A covered operator shall make available to each participant, on demand and not less than monthly, a statement of that participant's deposits, withdrawals, amounts placed at risk, and net position, expressed in currency, for the preceding twelve months.</w:t>
      </w:r>
    </w:p>
    <w:p>
      <w:pPr>
        <w:ind w:left="432" w:hanging="432"/>
        <w:jc w:val="both"/>
      </w:pPr>
      <w:r>
        <w:rPr>
          <w:rFonts w:ascii="Times New Roman" w:hAnsi="Times New Roman"/>
          <w:b/>
          <w:sz w:val="22"/>
        </w:rPr>
        <w:t xml:space="preserve">(c)  </w:t>
      </w:r>
      <w:r>
        <w:rPr>
          <w:rFonts w:ascii="Times New Roman" w:hAnsi="Times New Roman"/>
          <w:sz w:val="22"/>
        </w:rPr>
        <w:t>A covered operator shall display elapsed session time to the participant, and shall provide a reality check at intervals the participant may set.</w:t>
      </w:r>
    </w:p>
    <w:p>
      <w:pPr>
        <w:ind w:left="432" w:hanging="432"/>
        <w:jc w:val="both"/>
      </w:pPr>
      <w:r>
        <w:rPr>
          <w:rFonts w:ascii="Times New Roman" w:hAnsi="Times New Roman"/>
          <w:b/>
          <w:sz w:val="22"/>
        </w:rPr>
        <w:t xml:space="preserve">(d)  </w:t>
      </w:r>
      <w:r>
        <w:rPr>
          <w:rFonts w:ascii="Times New Roman" w:hAnsi="Times New Roman"/>
          <w:sz w:val="22"/>
        </w:rPr>
        <w:t>A covered operator shall not describe a covered contract as an investment, a hedge, or a form of financial planning in participant-facing material unless the description is accurate for the contract as offered to that participant.</w:t>
      </w:r>
    </w:p>
    <w:p>
      <w:pPr>
        <w:pStyle w:val="Heading2"/>
      </w:pPr>
      <w:r>
        <w:rPr>
          <w:rFonts w:ascii="Times New Roman" w:hAnsi="Times New Roman"/>
          <w:b/>
          <w:color w:val="143C46"/>
          <w:sz w:val="23"/>
        </w:rPr>
        <w:t xml:space="preserve">§ 304.  </w:t>
      </w:r>
      <w:r>
        <w:rPr>
          <w:rFonts w:ascii="Times New Roman" w:hAnsi="Times New Roman"/>
          <w:b/>
          <w:color w:val="000000"/>
          <w:sz w:val="23"/>
        </w:rPr>
        <w:t>Problem gambling program</w:t>
      </w:r>
    </w:p>
    <w:p>
      <w:pPr>
        <w:ind w:left="432" w:hanging="432"/>
        <w:jc w:val="both"/>
      </w:pPr>
      <w:r>
        <w:rPr>
          <w:rFonts w:ascii="Times New Roman" w:hAnsi="Times New Roman"/>
          <w:b/>
          <w:sz w:val="22"/>
        </w:rPr>
        <w:t xml:space="preserve">(a)  </w:t>
      </w:r>
      <w:r>
        <w:rPr>
          <w:rFonts w:ascii="Times New Roman" w:hAnsi="Times New Roman"/>
          <w:sz w:val="22"/>
        </w:rPr>
        <w:t>A covered operator shall adopt a written problem gambling plan, which shall address at minimum:</w:t>
      </w:r>
    </w:p>
    <w:p>
      <w:pPr>
        <w:ind w:left="864" w:hanging="432"/>
        <w:jc w:val="both"/>
      </w:pPr>
      <w:r>
        <w:rPr>
          <w:rFonts w:ascii="Times New Roman" w:hAnsi="Times New Roman"/>
          <w:b/>
          <w:sz w:val="22"/>
        </w:rPr>
        <w:t xml:space="preserve">(1)  </w:t>
      </w:r>
      <w:r>
        <w:rPr>
          <w:rFonts w:ascii="Times New Roman" w:hAnsi="Times New Roman"/>
          <w:sz w:val="22"/>
        </w:rPr>
        <w:t>the goals of the plan, the procedures implementing it, and the timetable for implementation;</w:t>
      </w:r>
    </w:p>
    <w:p>
      <w:pPr>
        <w:ind w:left="864" w:hanging="432"/>
        <w:jc w:val="both"/>
      </w:pPr>
      <w:r>
        <w:rPr>
          <w:rFonts w:ascii="Times New Roman" w:hAnsi="Times New Roman"/>
          <w:b/>
          <w:sz w:val="22"/>
        </w:rPr>
        <w:t xml:space="preserve">(2)  </w:t>
      </w:r>
      <w:r>
        <w:rPr>
          <w:rFonts w:ascii="Times New Roman" w:hAnsi="Times New Roman"/>
          <w:sz w:val="22"/>
        </w:rPr>
        <w:t>the position responsible for implementing and maintaining the plan;</w:t>
      </w:r>
    </w:p>
    <w:p>
      <w:pPr>
        <w:ind w:left="864" w:hanging="432"/>
        <w:jc w:val="both"/>
      </w:pPr>
      <w:r>
        <w:rPr>
          <w:rFonts w:ascii="Times New Roman" w:hAnsi="Times New Roman"/>
          <w:b/>
          <w:sz w:val="22"/>
        </w:rPr>
        <w:t xml:space="preserve">(3)  </w:t>
      </w:r>
      <w:r>
        <w:rPr>
          <w:rFonts w:ascii="Times New Roman" w:hAnsi="Times New Roman"/>
          <w:sz w:val="22"/>
        </w:rPr>
        <w:t>procedures for compliance with § 301, including procedures preventing an excluded participant from trading, procedures for terminating marketing, and procedures for preventing access to credit and promotional benefit;</w:t>
      </w:r>
    </w:p>
    <w:p>
      <w:pPr>
        <w:ind w:left="864" w:hanging="432"/>
        <w:jc w:val="both"/>
      </w:pPr>
      <w:r>
        <w:rPr>
          <w:rFonts w:ascii="Times New Roman" w:hAnsi="Times New Roman"/>
          <w:b/>
          <w:sz w:val="22"/>
        </w:rPr>
        <w:t xml:space="preserve">(4)  </w:t>
      </w:r>
      <w:r>
        <w:rPr>
          <w:rFonts w:ascii="Times New Roman" w:hAnsi="Times New Roman"/>
          <w:sz w:val="22"/>
        </w:rPr>
        <w:t>procedures for identifying participants exhibiting indicators of gambling harm, including procedures specific to loyalty, rewards, and marketing programs;</w:t>
      </w:r>
    </w:p>
    <w:p>
      <w:pPr>
        <w:ind w:left="864" w:hanging="432"/>
        <w:jc w:val="both"/>
      </w:pPr>
      <w:r>
        <w:rPr>
          <w:rFonts w:ascii="Times New Roman" w:hAnsi="Times New Roman"/>
          <w:b/>
          <w:sz w:val="22"/>
        </w:rPr>
        <w:t xml:space="preserve">(5)  </w:t>
      </w:r>
      <w:r>
        <w:rPr>
          <w:rFonts w:ascii="Times New Roman" w:hAnsi="Times New Roman"/>
          <w:sz w:val="22"/>
        </w:rPr>
        <w:t>procedures for responding to a participant who discloses a gambling problem, and for responding to a report from a third party such as a family member;</w:t>
      </w:r>
    </w:p>
    <w:p>
      <w:pPr>
        <w:ind w:left="864" w:hanging="432"/>
        <w:jc w:val="both"/>
      </w:pPr>
      <w:r>
        <w:rPr>
          <w:rFonts w:ascii="Times New Roman" w:hAnsi="Times New Roman"/>
          <w:b/>
          <w:sz w:val="22"/>
        </w:rPr>
        <w:t xml:space="preserve">(6)  </w:t>
      </w:r>
      <w:r>
        <w:rPr>
          <w:rFonts w:ascii="Times New Roman" w:hAnsi="Times New Roman"/>
          <w:sz w:val="22"/>
        </w:rPr>
        <w:t>the duties of employees under the plan, and an employee training program covering recognition of gambling harm, response to disclosure, and response to third-party reports, with periodic reinforcement and a certification process verifying completion;</w:t>
      </w:r>
    </w:p>
    <w:p>
      <w:pPr>
        <w:ind w:left="864" w:hanging="432"/>
        <w:jc w:val="both"/>
      </w:pPr>
      <w:r>
        <w:rPr>
          <w:rFonts w:ascii="Times New Roman" w:hAnsi="Times New Roman"/>
          <w:b/>
          <w:sz w:val="22"/>
        </w:rPr>
        <w:t xml:space="preserve">(7)  </w:t>
      </w:r>
      <w:r>
        <w:rPr>
          <w:rFonts w:ascii="Times New Roman" w:hAnsi="Times New Roman"/>
          <w:sz w:val="22"/>
        </w:rPr>
        <w:t>provision of written material educating participants about gambling harm, exclusion, and treatment resources;</w:t>
      </w:r>
    </w:p>
    <w:p>
      <w:pPr>
        <w:ind w:left="864" w:hanging="432"/>
        <w:jc w:val="both"/>
      </w:pPr>
      <w:r>
        <w:rPr>
          <w:rFonts w:ascii="Times New Roman" w:hAnsi="Times New Roman"/>
          <w:b/>
          <w:sz w:val="22"/>
        </w:rPr>
        <w:t xml:space="preserve">(8)  </w:t>
      </w:r>
      <w:r>
        <w:rPr>
          <w:rFonts w:ascii="Times New Roman" w:hAnsi="Times New Roman"/>
          <w:sz w:val="22"/>
        </w:rPr>
        <w:t>procedures to prevent participation by individuals below the minimum age; and</w:t>
      </w:r>
    </w:p>
    <w:p>
      <w:pPr>
        <w:ind w:left="864" w:hanging="432"/>
        <w:jc w:val="both"/>
      </w:pPr>
      <w:r>
        <w:rPr>
          <w:rFonts w:ascii="Times New Roman" w:hAnsi="Times New Roman"/>
          <w:b/>
          <w:sz w:val="22"/>
        </w:rPr>
        <w:t xml:space="preserve">(9)  </w:t>
      </w:r>
      <w:r>
        <w:rPr>
          <w:rFonts w:ascii="Times New Roman" w:hAnsi="Times New Roman"/>
          <w:sz w:val="22"/>
        </w:rPr>
        <w:t>a list of public and private treatment services, peer support groups, and related programs.</w:t>
      </w:r>
    </w:p>
    <w:p>
      <w:pPr>
        <w:ind w:left="432" w:hanging="432"/>
        <w:jc w:val="both"/>
      </w:pPr>
      <w:r>
        <w:rPr>
          <w:rFonts w:ascii="Times New Roman" w:hAnsi="Times New Roman"/>
          <w:b/>
          <w:sz w:val="22"/>
        </w:rPr>
        <w:t xml:space="preserve">(b)  </w:t>
      </w:r>
      <w:r>
        <w:rPr>
          <w:rFonts w:ascii="Times New Roman" w:hAnsi="Times New Roman"/>
          <w:sz w:val="22"/>
        </w:rPr>
        <w:t>A covered operator shall submit quarterly updates and an annual report on adherence to the plan under § 602.</w:t>
      </w:r>
    </w:p>
    <w:p>
      <w:pPr>
        <w:ind w:left="432" w:hanging="432"/>
        <w:jc w:val="both"/>
      </w:pPr>
      <w:r>
        <w:rPr>
          <w:rFonts w:ascii="Times New Roman" w:hAnsi="Times New Roman"/>
          <w:b/>
          <w:sz w:val="22"/>
        </w:rPr>
        <w:t xml:space="preserve">(c)  </w:t>
      </w:r>
      <w:r>
        <w:rPr>
          <w:rFonts w:ascii="Times New Roman" w:hAnsi="Times New Roman"/>
          <w:sz w:val="22"/>
        </w:rPr>
        <w:t>A covered operator shall contribute to the funding of problem gambling research, prevention, and treatment. The contribution shall be calculated as a stated percentage of gross gaming revenue or an equivalent measure, shall be disclosed publicly, and shall be paid to an entity independent of the covered operator.</w:t>
      </w:r>
    </w:p>
    <w:p>
      <w:pPr>
        <w:spacing w:before="200" w:after="200"/>
        <w:ind w:left="360" w:right="288"/>
        <w:pBdr>
          <w:top w:val="single" w:sz="4" w:space="8" w:color="B9C6CA"/>
          <w:bottom w:val="single" w:sz="4" w:space="8" w:color="B9C6CA"/>
          <w:left w:val="single" w:sz="4" w:space="8" w:color="B9C6CA"/>
          <w:right w:val="single" w:sz="4" w:space="8" w:color="B9C6CA"/>
        </w:pBdr>
        <w:shd w:val="clear" w:color="auto" w:fill="F2F6F7"/>
      </w:pPr>
      <w:r>
        <w:rPr>
          <w:rFonts w:ascii="Calibri" w:hAnsi="Calibri"/>
          <w:b/>
          <w:color w:val="143C46"/>
          <w:sz w:val="16"/>
        </w:rPr>
        <w:t>DRAFTING NOTE</w:t>
        <w:br/>
      </w:r>
      <w:r>
        <w:rPr>
          <w:rFonts w:ascii="Times New Roman" w:hAnsi="Times New Roman"/>
          <w:sz w:val="20"/>
        </w:rPr>
        <w:t>Paragraph (c) has no analogue in federal derivatives law. There is no fee, levy, or fund into which a CFTC-regulated event contract contributes anything for problem gambling purposes. State frameworks fund these programs through gaming tax allocations, which is a mechanism unavailable to a federally regulated exchange. The percentage is left open pending comment on whether these Standards should specify a rate or require only disclosure of the rate chosen.</w:t>
      </w:r>
    </w:p>
    <w:p>
      <w:pPr>
        <w:pStyle w:val="Heading2"/>
      </w:pPr>
      <w:r>
        <w:rPr>
          <w:rFonts w:ascii="Times New Roman" w:hAnsi="Times New Roman"/>
          <w:b/>
          <w:color w:val="143C46"/>
          <w:sz w:val="23"/>
        </w:rPr>
        <w:t xml:space="preserve">§ 305.  </w:t>
      </w:r>
      <w:r>
        <w:rPr>
          <w:rFonts w:ascii="Times New Roman" w:hAnsi="Times New Roman"/>
          <w:b/>
          <w:color w:val="000000"/>
          <w:sz w:val="23"/>
        </w:rPr>
        <w:t>Complaints</w:t>
      </w:r>
    </w:p>
    <w:p>
      <w:pPr>
        <w:ind w:left="432" w:hanging="432"/>
        <w:jc w:val="both"/>
      </w:pPr>
      <w:r>
        <w:rPr>
          <w:rFonts w:ascii="Times New Roman" w:hAnsi="Times New Roman"/>
          <w:b/>
          <w:sz w:val="22"/>
        </w:rPr>
        <w:t xml:space="preserve">(a)  </w:t>
      </w:r>
      <w:r>
        <w:rPr>
          <w:rFonts w:ascii="Times New Roman" w:hAnsi="Times New Roman"/>
          <w:sz w:val="22"/>
        </w:rPr>
        <w:t>A covered operator shall maintain a documented complaint procedure, shall acknowledge a complaint within two business days, and shall resolve it within thirty days or explain the delay in writing.</w:t>
      </w:r>
    </w:p>
    <w:p>
      <w:pPr>
        <w:ind w:left="432" w:hanging="432"/>
        <w:jc w:val="both"/>
      </w:pPr>
      <w:r>
        <w:rPr>
          <w:rFonts w:ascii="Times New Roman" w:hAnsi="Times New Roman"/>
          <w:b/>
          <w:sz w:val="22"/>
        </w:rPr>
        <w:t xml:space="preserve">(b)  </w:t>
      </w:r>
      <w:r>
        <w:rPr>
          <w:rFonts w:ascii="Times New Roman" w:hAnsi="Times New Roman"/>
          <w:sz w:val="22"/>
        </w:rPr>
        <w:t>A covered operator shall maintain a complaint register recording the date, the participant, the substance, the resolution, and the elapsed time, and shall report under § 602.</w:t>
      </w:r>
    </w:p>
    <w:p>
      <w:pPr>
        <w:ind w:left="432" w:hanging="432"/>
        <w:jc w:val="both"/>
      </w:pPr>
      <w:r>
        <w:rPr>
          <w:rFonts w:ascii="Times New Roman" w:hAnsi="Times New Roman"/>
          <w:b/>
          <w:sz w:val="22"/>
        </w:rPr>
        <w:t xml:space="preserve">(c)  </w:t>
      </w:r>
      <w:r>
        <w:rPr>
          <w:rFonts w:ascii="Times New Roman" w:hAnsi="Times New Roman"/>
          <w:sz w:val="22"/>
        </w:rPr>
        <w:t>A covered operator shall not condition resolution of a complaint on the participant waiving a right under applicable law.</w:t>
      </w:r>
    </w:p>
    <w:p>
      <w:pPr>
        <w:pStyle w:val="Heading2"/>
      </w:pPr>
      <w:r>
        <w:rPr>
          <w:rFonts w:ascii="Times New Roman" w:hAnsi="Times New Roman"/>
          <w:b/>
          <w:color w:val="143C46"/>
          <w:sz w:val="23"/>
        </w:rPr>
        <w:t xml:space="preserve">§ 306.  </w:t>
      </w:r>
      <w:r>
        <w:rPr>
          <w:rFonts w:ascii="Times New Roman" w:hAnsi="Times New Roman"/>
          <w:b/>
          <w:color w:val="000000"/>
          <w:sz w:val="23"/>
        </w:rPr>
        <w:t>Advertising and promotion</w:t>
      </w:r>
    </w:p>
    <w:p>
      <w:pPr>
        <w:ind w:left="432" w:hanging="432"/>
        <w:jc w:val="both"/>
      </w:pPr>
      <w:r>
        <w:rPr>
          <w:rFonts w:ascii="Times New Roman" w:hAnsi="Times New Roman"/>
          <w:b/>
          <w:sz w:val="22"/>
        </w:rPr>
        <w:t xml:space="preserve">(a)  </w:t>
      </w:r>
      <w:r>
        <w:rPr>
          <w:rFonts w:ascii="Times New Roman" w:hAnsi="Times New Roman"/>
          <w:sz w:val="22"/>
        </w:rPr>
        <w:t>A covered operator shall not advertise in a manner that:</w:t>
      </w:r>
    </w:p>
    <w:p>
      <w:pPr>
        <w:ind w:left="864" w:hanging="432"/>
        <w:jc w:val="both"/>
      </w:pPr>
      <w:r>
        <w:rPr>
          <w:rFonts w:ascii="Times New Roman" w:hAnsi="Times New Roman"/>
          <w:b/>
          <w:sz w:val="22"/>
        </w:rPr>
        <w:t xml:space="preserve">(1)  </w:t>
      </w:r>
      <w:r>
        <w:rPr>
          <w:rFonts w:ascii="Times New Roman" w:hAnsi="Times New Roman"/>
          <w:sz w:val="22"/>
        </w:rPr>
        <w:t>targets individuals below the minimum age under § 403, uses branding likely to appeal to them, or places material where the majority of the audience is presumed to be below that age;</w:t>
      </w:r>
    </w:p>
    <w:p>
      <w:pPr>
        <w:ind w:left="864" w:hanging="432"/>
        <w:jc w:val="both"/>
      </w:pPr>
      <w:r>
        <w:rPr>
          <w:rFonts w:ascii="Times New Roman" w:hAnsi="Times New Roman"/>
          <w:b/>
          <w:sz w:val="22"/>
        </w:rPr>
        <w:t xml:space="preserve">(2)  </w:t>
      </w:r>
      <w:r>
        <w:rPr>
          <w:rFonts w:ascii="Times New Roman" w:hAnsi="Times New Roman"/>
          <w:sz w:val="22"/>
        </w:rPr>
        <w:t>misrepresents the likelihood of a return;</w:t>
      </w:r>
    </w:p>
    <w:p>
      <w:pPr>
        <w:ind w:left="864" w:hanging="432"/>
        <w:jc w:val="both"/>
      </w:pPr>
      <w:r>
        <w:rPr>
          <w:rFonts w:ascii="Times New Roman" w:hAnsi="Times New Roman"/>
          <w:b/>
          <w:sz w:val="22"/>
        </w:rPr>
        <w:t xml:space="preserve">(3)  </w:t>
      </w:r>
      <w:r>
        <w:rPr>
          <w:rFonts w:ascii="Times New Roman" w:hAnsi="Times New Roman"/>
          <w:sz w:val="22"/>
        </w:rPr>
        <w:t>presents trading a covered contract as a solution to financial difficulty; or</w:t>
      </w:r>
    </w:p>
    <w:p>
      <w:pPr>
        <w:ind w:left="864" w:hanging="432"/>
        <w:jc w:val="both"/>
      </w:pPr>
      <w:r>
        <w:rPr>
          <w:rFonts w:ascii="Times New Roman" w:hAnsi="Times New Roman"/>
          <w:b/>
          <w:sz w:val="22"/>
        </w:rPr>
        <w:t xml:space="preserve">(4)  </w:t>
      </w:r>
      <w:r>
        <w:rPr>
          <w:rFonts w:ascii="Times New Roman" w:hAnsi="Times New Roman"/>
          <w:sz w:val="22"/>
        </w:rPr>
        <w:t>is directed to an excluded participant.</w:t>
      </w:r>
    </w:p>
    <w:p>
      <w:pPr>
        <w:ind w:left="432" w:hanging="432"/>
        <w:jc w:val="both"/>
      </w:pPr>
      <w:r>
        <w:rPr>
          <w:rFonts w:ascii="Times New Roman" w:hAnsi="Times New Roman"/>
          <w:b/>
          <w:sz w:val="22"/>
        </w:rPr>
        <w:t xml:space="preserve">(b)  </w:t>
      </w:r>
      <w:r>
        <w:rPr>
          <w:rFonts w:ascii="Times New Roman" w:hAnsi="Times New Roman"/>
          <w:sz w:val="22"/>
        </w:rPr>
        <w:t>A covered operator shall not offer a financial incentive, including bonus funds or trading credit, that is triggered by a participant's account approaching or reaching a zero balance.</w:t>
      </w:r>
    </w:p>
    <w:p>
      <w:pPr>
        <w:ind w:left="432" w:hanging="432"/>
        <w:jc w:val="both"/>
      </w:pPr>
      <w:r>
        <w:rPr>
          <w:rFonts w:ascii="Times New Roman" w:hAnsi="Times New Roman"/>
          <w:b/>
          <w:sz w:val="22"/>
        </w:rPr>
        <w:t xml:space="preserve">(c)  </w:t>
      </w:r>
      <w:r>
        <w:rPr>
          <w:rFonts w:ascii="Times New Roman" w:hAnsi="Times New Roman"/>
          <w:sz w:val="22"/>
        </w:rPr>
        <w:t>A covered operator shall not design a covered contract or platform feature that encourages a participant to increase the amount at risk in order to recover a prior loss, or that encourages continued trading after the participant has indicated an intention to stop.</w:t>
      </w:r>
    </w:p>
    <w:p>
      <w:pPr>
        <w:ind w:left="432" w:hanging="432"/>
        <w:jc w:val="both"/>
      </w:pPr>
      <w:r>
        <w:rPr>
          <w:rFonts w:ascii="Times New Roman" w:hAnsi="Times New Roman"/>
          <w:b/>
          <w:sz w:val="22"/>
        </w:rPr>
        <w:t xml:space="preserve">(d)  </w:t>
      </w:r>
      <w:r>
        <w:rPr>
          <w:rFonts w:ascii="Times New Roman" w:hAnsi="Times New Roman"/>
          <w:sz w:val="22"/>
        </w:rPr>
        <w:t>A covered operator shall disclose the full terms of a promotion, including all conditions on withdrawal, at the point the promotion is presented.</w:t>
      </w:r>
    </w:p>
    <w:p>
      <w:pPr>
        <w:spacing w:before="240"/>
        <w:pBdr>
          <w:top w:val="single" w:sz="4" w:space="6" w:color="8A8A8A"/>
        </w:pBdr>
      </w:pPr>
      <w:r>
        <w:rPr>
          <w:rFonts w:ascii="Times New Roman" w:hAnsi="Times New Roman"/>
          <w:i/>
          <w:color w:val="555555"/>
          <w:sz w:val="17"/>
        </w:rPr>
        <w:t>Basis: Ohio Admin. Code ch. 3772-12 (Ohio Voluntary Exclusion Program), 3775-16-08, 3775-16-09, 3775-16-21; N.J.A.C. 13:69O-1.2, 13:69O-1.3; N.J.A.C. 13:69G; UKGC Licence Conditions and Codes of Practice; UKGC Remote Gambling and Software Technical Standards RTS 2, RTS 8, RTS 12, RTS 13, RTS 14; Nev. Gaming Comm'n Reg. 5.170; 11 Va. Admin. Code 5-80; S. 4060, 119th Cong. §§ 5, 7(b)(2)(E), 9(c) (2026).</w:t>
      </w:r>
    </w:p>
    <w:p>
      <w:r>
        <w:br w:type="page"/>
      </w:r>
    </w:p>
    <w:p>
      <w:pPr>
        <w:spacing w:after="40"/>
      </w:pPr>
      <w:r>
        <w:rPr>
          <w:rFonts w:ascii="Calibri" w:hAnsi="Calibri"/>
          <w:b/>
          <w:color w:val="143C46"/>
          <w:sz w:val="18"/>
        </w:rPr>
        <w:t>PART 400</w:t>
      </w:r>
    </w:p>
    <w:p>
      <w:pPr>
        <w:pStyle w:val="Heading1"/>
        <w:spacing w:before="0"/>
        <w:pBdr>
          <w:bottom w:val="single" w:sz="8" w:space="6" w:color="143C46"/>
        </w:pBdr>
      </w:pPr>
      <w:r>
        <w:rPr>
          <w:rFonts w:ascii="Times New Roman" w:hAnsi="Times New Roman"/>
          <w:b/>
          <w:color w:val="000000"/>
          <w:sz w:val="30"/>
        </w:rPr>
        <w:t>Market Integrity</w:t>
      </w:r>
    </w:p>
    <w:p>
      <w:pPr>
        <w:pStyle w:val="Heading2"/>
      </w:pPr>
      <w:r>
        <w:rPr>
          <w:rFonts w:ascii="Times New Roman" w:hAnsi="Times New Roman"/>
          <w:b/>
          <w:color w:val="143C46"/>
          <w:sz w:val="23"/>
        </w:rPr>
        <w:t xml:space="preserve">§ 401.  </w:t>
      </w:r>
      <w:r>
        <w:rPr>
          <w:rFonts w:ascii="Times New Roman" w:hAnsi="Times New Roman"/>
          <w:b/>
          <w:color w:val="000000"/>
          <w:sz w:val="23"/>
        </w:rPr>
        <w:t>Prohibited conduct</w:t>
      </w:r>
    </w:p>
    <w:p>
      <w:pPr>
        <w:ind w:left="432" w:hanging="432"/>
        <w:jc w:val="both"/>
      </w:pPr>
      <w:r>
        <w:rPr>
          <w:rFonts w:ascii="Times New Roman" w:hAnsi="Times New Roman"/>
          <w:b/>
          <w:sz w:val="22"/>
        </w:rPr>
        <w:t xml:space="preserve">(a)  </w:t>
      </w:r>
      <w:r>
        <w:rPr>
          <w:rFonts w:ascii="Times New Roman" w:hAnsi="Times New Roman"/>
          <w:sz w:val="22"/>
        </w:rPr>
        <w:t>A person shall not use material non-public information concerning the event underlying a covered contract for gain in connection with that contract.</w:t>
      </w:r>
    </w:p>
    <w:p>
      <w:pPr>
        <w:ind w:left="432" w:hanging="432"/>
        <w:jc w:val="both"/>
      </w:pPr>
      <w:r>
        <w:rPr>
          <w:rFonts w:ascii="Times New Roman" w:hAnsi="Times New Roman"/>
          <w:b/>
          <w:sz w:val="22"/>
        </w:rPr>
        <w:t xml:space="preserve">(b)  </w:t>
      </w:r>
      <w:r>
        <w:rPr>
          <w:rFonts w:ascii="Times New Roman" w:hAnsi="Times New Roman"/>
          <w:sz w:val="22"/>
        </w:rPr>
        <w:t>A person shall not enter into a covered contract with respect to an event that the person is capable of influencing.</w:t>
      </w:r>
    </w:p>
    <w:p>
      <w:pPr>
        <w:ind w:left="432" w:hanging="432"/>
        <w:jc w:val="both"/>
      </w:pPr>
      <w:r>
        <w:rPr>
          <w:rFonts w:ascii="Times New Roman" w:hAnsi="Times New Roman"/>
          <w:b/>
          <w:sz w:val="22"/>
        </w:rPr>
        <w:t xml:space="preserve">(c)  </w:t>
      </w:r>
      <w:r>
        <w:rPr>
          <w:rFonts w:ascii="Times New Roman" w:hAnsi="Times New Roman"/>
          <w:sz w:val="22"/>
        </w:rPr>
        <w:t>A person shall not engage in conduct intended to affect the price or settlement of a covered contract other than through legitimate trading, including making a material misrepresentation concerning the underlying event while holding a position in it.</w:t>
      </w:r>
    </w:p>
    <w:p>
      <w:pPr>
        <w:ind w:left="432" w:hanging="432"/>
        <w:jc w:val="both"/>
      </w:pPr>
      <w:r>
        <w:rPr>
          <w:rFonts w:ascii="Times New Roman" w:hAnsi="Times New Roman"/>
          <w:b/>
          <w:sz w:val="22"/>
        </w:rPr>
        <w:t xml:space="preserve">(d)  </w:t>
      </w:r>
      <w:r>
        <w:rPr>
          <w:rFonts w:ascii="Times New Roman" w:hAnsi="Times New Roman"/>
          <w:sz w:val="22"/>
        </w:rPr>
        <w:t>A covered operator shall publish rules prohibiting the conduct described in this section and shall enforce those rules against its participants.</w:t>
      </w:r>
    </w:p>
    <w:p>
      <w:pPr>
        <w:spacing w:before="200" w:after="200"/>
        <w:ind w:left="360" w:right="288"/>
        <w:pBdr>
          <w:top w:val="single" w:sz="4" w:space="8" w:color="B9C6CA"/>
          <w:bottom w:val="single" w:sz="4" w:space="8" w:color="B9C6CA"/>
          <w:left w:val="single" w:sz="4" w:space="8" w:color="B9C6CA"/>
          <w:right w:val="single" w:sz="4" w:space="8" w:color="B9C6CA"/>
        </w:pBdr>
        <w:shd w:val="clear" w:color="auto" w:fill="F2F6F7"/>
      </w:pPr>
      <w:r>
        <w:rPr>
          <w:rFonts w:ascii="Calibri" w:hAnsi="Calibri"/>
          <w:b/>
          <w:color w:val="143C46"/>
          <w:sz w:val="16"/>
        </w:rPr>
        <w:t>DRAFTING NOTE</w:t>
        <w:br/>
      </w:r>
      <w:r>
        <w:rPr>
          <w:rFonts w:ascii="Times New Roman" w:hAnsi="Times New Roman"/>
          <w:sz w:val="20"/>
        </w:rPr>
        <w:t xml:space="preserve">Paragraph (c) reflects the conduct charged in </w:t>
      </w:r>
      <w:r>
        <w:rPr>
          <w:rFonts w:ascii="Times New Roman" w:hAnsi="Times New Roman"/>
          <w:i/>
          <w:sz w:val="20"/>
        </w:rPr>
        <w:t>In re George Anthony Devolder Santos</w:t>
      </w:r>
      <w:r>
        <w:rPr>
          <w:rFonts w:ascii="Times New Roman" w:hAnsi="Times New Roman"/>
          <w:sz w:val="20"/>
        </w:rPr>
        <w:t>, CFTC Docket No. 26-05 (July 31, 2026), in which the respondent traded a contract on his own attendance at an event while making misrepresentations about his intentions. That action was brought under Commodity Exchange Act § 6(c)(1) and 17 C.F.R. § 180.1, which are general anti-fraud and anti-manipulation provisions, because no rule specific to prediction markets addressed the conduct. Section 402 is the structural remedy: the exchange should be required to identify and restrict such persons in advance rather than leave the matter to enforcement after settlement.</w:t>
      </w:r>
    </w:p>
    <w:p>
      <w:pPr>
        <w:pStyle w:val="Heading2"/>
      </w:pPr>
      <w:r>
        <w:rPr>
          <w:rFonts w:ascii="Times New Roman" w:hAnsi="Times New Roman"/>
          <w:b/>
          <w:color w:val="143C46"/>
          <w:sz w:val="23"/>
        </w:rPr>
        <w:t xml:space="preserve">§ 402.  </w:t>
      </w:r>
      <w:r>
        <w:rPr>
          <w:rFonts w:ascii="Times New Roman" w:hAnsi="Times New Roman"/>
          <w:b/>
          <w:color w:val="000000"/>
          <w:sz w:val="23"/>
        </w:rPr>
        <w:t>Influencing persons</w:t>
      </w:r>
    </w:p>
    <w:p>
      <w:pPr>
        <w:ind w:left="432" w:hanging="432"/>
        <w:jc w:val="both"/>
      </w:pPr>
      <w:r>
        <w:rPr>
          <w:rFonts w:ascii="Times New Roman" w:hAnsi="Times New Roman"/>
          <w:b/>
          <w:sz w:val="22"/>
        </w:rPr>
        <w:t xml:space="preserve">(a)  </w:t>
      </w:r>
      <w:r>
        <w:rPr>
          <w:rFonts w:ascii="Times New Roman" w:hAnsi="Times New Roman"/>
          <w:sz w:val="22"/>
        </w:rPr>
        <w:t>A covered operator shall employ commercially reasonable methods to prevent an influencing person from entering into a covered contract on the event that person is capable of influencing.</w:t>
      </w:r>
    </w:p>
    <w:p>
      <w:pPr>
        <w:ind w:left="432" w:hanging="432"/>
        <w:jc w:val="both"/>
      </w:pPr>
      <w:r>
        <w:rPr>
          <w:rFonts w:ascii="Times New Roman" w:hAnsi="Times New Roman"/>
          <w:b/>
          <w:sz w:val="22"/>
        </w:rPr>
        <w:t xml:space="preserve">(b)  </w:t>
      </w:r>
      <w:r>
        <w:rPr>
          <w:rFonts w:ascii="Times New Roman" w:hAnsi="Times New Roman"/>
          <w:sz w:val="22"/>
        </w:rPr>
        <w:t>For each covered contract, a covered operator shall identify the categories of individuals who are influencing persons with respect to that contract. Categories include, according to the nature of the event:</w:t>
      </w:r>
    </w:p>
    <w:p>
      <w:pPr>
        <w:ind w:left="864" w:hanging="432"/>
        <w:jc w:val="both"/>
      </w:pPr>
      <w:r>
        <w:rPr>
          <w:rFonts w:ascii="Times New Roman" w:hAnsi="Times New Roman"/>
          <w:b/>
          <w:sz w:val="22"/>
        </w:rPr>
        <w:t xml:space="preserve">(1)  </w:t>
      </w:r>
      <w:r>
        <w:rPr>
          <w:rFonts w:ascii="Times New Roman" w:hAnsi="Times New Roman"/>
          <w:sz w:val="22"/>
        </w:rPr>
        <w:t>a participant in, official of, or decision-maker with respect to the event;</w:t>
      </w:r>
    </w:p>
    <w:p>
      <w:pPr>
        <w:ind w:left="864" w:hanging="432"/>
        <w:jc w:val="both"/>
      </w:pPr>
      <w:r>
        <w:rPr>
          <w:rFonts w:ascii="Times New Roman" w:hAnsi="Times New Roman"/>
          <w:b/>
          <w:sz w:val="22"/>
        </w:rPr>
        <w:t xml:space="preserve">(2)  </w:t>
      </w:r>
      <w:r>
        <w:rPr>
          <w:rFonts w:ascii="Times New Roman" w:hAnsi="Times New Roman"/>
          <w:sz w:val="22"/>
        </w:rPr>
        <w:t>an individual holding a position, office, or candidacy whose conduct determines or materially affects the outcome;</w:t>
      </w:r>
    </w:p>
    <w:p>
      <w:pPr>
        <w:ind w:left="864" w:hanging="432"/>
        <w:jc w:val="both"/>
      </w:pPr>
      <w:r>
        <w:rPr>
          <w:rFonts w:ascii="Times New Roman" w:hAnsi="Times New Roman"/>
          <w:b/>
          <w:sz w:val="22"/>
        </w:rPr>
        <w:t xml:space="preserve">(3)  </w:t>
      </w:r>
      <w:r>
        <w:rPr>
          <w:rFonts w:ascii="Times New Roman" w:hAnsi="Times New Roman"/>
          <w:sz w:val="22"/>
        </w:rPr>
        <w:t>an employee, agent, immediate family member, or contractual counterparty of a person described in paragraph (b)(1) or (b)(2), where the relationship provides influence or access to material non-public information;</w:t>
      </w:r>
    </w:p>
    <w:p>
      <w:pPr>
        <w:ind w:left="864" w:hanging="432"/>
        <w:jc w:val="both"/>
      </w:pPr>
      <w:r>
        <w:rPr>
          <w:rFonts w:ascii="Times New Roman" w:hAnsi="Times New Roman"/>
          <w:b/>
          <w:sz w:val="22"/>
        </w:rPr>
        <w:t xml:space="preserve">(4)  </w:t>
      </w:r>
      <w:r>
        <w:rPr>
          <w:rFonts w:ascii="Times New Roman" w:hAnsi="Times New Roman"/>
          <w:sz w:val="22"/>
        </w:rPr>
        <w:t>an individual employed by or contracted to the resolution source; and</w:t>
      </w:r>
    </w:p>
    <w:p>
      <w:pPr>
        <w:ind w:left="864" w:hanging="432"/>
        <w:jc w:val="both"/>
      </w:pPr>
      <w:r>
        <w:rPr>
          <w:rFonts w:ascii="Times New Roman" w:hAnsi="Times New Roman"/>
          <w:b/>
          <w:sz w:val="22"/>
        </w:rPr>
        <w:t xml:space="preserve">(5)  </w:t>
      </w:r>
      <w:r>
        <w:rPr>
          <w:rFonts w:ascii="Times New Roman" w:hAnsi="Times New Roman"/>
          <w:sz w:val="22"/>
        </w:rPr>
        <w:t>an employee, officer, director, or contractor of the covered operator or an affiliate.</w:t>
      </w:r>
    </w:p>
    <w:p>
      <w:pPr>
        <w:ind w:left="432" w:hanging="432"/>
        <w:jc w:val="both"/>
      </w:pPr>
      <w:r>
        <w:rPr>
          <w:rFonts w:ascii="Times New Roman" w:hAnsi="Times New Roman"/>
          <w:b/>
          <w:sz w:val="22"/>
        </w:rPr>
        <w:t xml:space="preserve">(c)  </w:t>
      </w:r>
      <w:r>
        <w:rPr>
          <w:rFonts w:ascii="Times New Roman" w:hAnsi="Times New Roman"/>
          <w:sz w:val="22"/>
        </w:rPr>
        <w:t>A covered operator shall, before listing a covered contract, document the categories identified under paragraph (b) and the methods by which it will identify and restrict persons within them.</w:t>
      </w:r>
    </w:p>
    <w:p>
      <w:pPr>
        <w:ind w:left="432" w:hanging="432"/>
        <w:jc w:val="both"/>
      </w:pPr>
      <w:r>
        <w:rPr>
          <w:rFonts w:ascii="Times New Roman" w:hAnsi="Times New Roman"/>
          <w:b/>
          <w:sz w:val="22"/>
        </w:rPr>
        <w:t xml:space="preserve">(d)  </w:t>
      </w:r>
      <w:r>
        <w:rPr>
          <w:rFonts w:ascii="Times New Roman" w:hAnsi="Times New Roman"/>
          <w:sz w:val="22"/>
        </w:rPr>
        <w:t>A covered operator shall not list a covered contract for which it cannot identify the categories of influencing persons, or for which it has no reasonable method of restricting them.</w:t>
      </w:r>
    </w:p>
    <w:p>
      <w:pPr>
        <w:ind w:left="432" w:hanging="432"/>
        <w:jc w:val="both"/>
      </w:pPr>
      <w:r>
        <w:rPr>
          <w:rFonts w:ascii="Times New Roman" w:hAnsi="Times New Roman"/>
          <w:b/>
          <w:sz w:val="22"/>
        </w:rPr>
        <w:t xml:space="preserve">(e)  </w:t>
      </w:r>
      <w:r>
        <w:rPr>
          <w:rFonts w:ascii="Times New Roman" w:hAnsi="Times New Roman"/>
          <w:sz w:val="22"/>
        </w:rPr>
        <w:t>A covered operator shall maintain a restricted list, shall screen accounts against it, and shall keep its contents confidential, using it solely for the purposes of this Part.</w:t>
      </w:r>
    </w:p>
    <w:p>
      <w:pPr>
        <w:ind w:left="432" w:hanging="432"/>
        <w:jc w:val="both"/>
      </w:pPr>
      <w:r>
        <w:rPr>
          <w:rFonts w:ascii="Times New Roman" w:hAnsi="Times New Roman"/>
          <w:b/>
          <w:sz w:val="22"/>
        </w:rPr>
        <w:t xml:space="preserve">(f)  </w:t>
      </w:r>
      <w:r>
        <w:rPr>
          <w:rFonts w:ascii="Times New Roman" w:hAnsi="Times New Roman"/>
          <w:sz w:val="22"/>
        </w:rPr>
        <w:t>Where the event underlying a covered contract is governed or administered by an organizing body, a covered operator shall establish a procedure for receiving from that body a list of individuals involved in the event, and shall protect the personal information received.</w:t>
      </w:r>
    </w:p>
    <w:p>
      <w:pPr>
        <w:pStyle w:val="Heading2"/>
      </w:pPr>
      <w:r>
        <w:rPr>
          <w:rFonts w:ascii="Times New Roman" w:hAnsi="Times New Roman"/>
          <w:b/>
          <w:color w:val="143C46"/>
          <w:sz w:val="23"/>
        </w:rPr>
        <w:t xml:space="preserve">§ 403.  </w:t>
      </w:r>
      <w:r>
        <w:rPr>
          <w:rFonts w:ascii="Times New Roman" w:hAnsi="Times New Roman"/>
          <w:b/>
          <w:color w:val="000000"/>
          <w:sz w:val="23"/>
        </w:rPr>
        <w:t>Age, identity, and location verification</w:t>
      </w:r>
    </w:p>
    <w:p>
      <w:pPr>
        <w:ind w:left="432" w:hanging="432"/>
        <w:jc w:val="both"/>
      </w:pPr>
      <w:r>
        <w:rPr>
          <w:rFonts w:ascii="Times New Roman" w:hAnsi="Times New Roman"/>
          <w:b/>
          <w:sz w:val="22"/>
        </w:rPr>
        <w:t xml:space="preserve">(a)  </w:t>
      </w:r>
      <w:r>
        <w:rPr>
          <w:rFonts w:ascii="Times New Roman" w:hAnsi="Times New Roman"/>
          <w:sz w:val="22"/>
        </w:rPr>
        <w:t>A covered operator shall not permit an individual below the applicable minimum age to register or to enter into a covered contract. Absent a stricter requirement under applicable law, the minimum age is twenty-one years.</w:t>
      </w:r>
    </w:p>
    <w:p>
      <w:pPr>
        <w:ind w:left="432" w:hanging="432"/>
        <w:jc w:val="both"/>
      </w:pPr>
      <w:r>
        <w:rPr>
          <w:rFonts w:ascii="Times New Roman" w:hAnsi="Times New Roman"/>
          <w:b/>
          <w:sz w:val="22"/>
        </w:rPr>
        <w:t xml:space="preserve">(b)  </w:t>
      </w:r>
      <w:r>
        <w:rPr>
          <w:rFonts w:ascii="Times New Roman" w:hAnsi="Times New Roman"/>
          <w:sz w:val="22"/>
        </w:rPr>
        <w:t>A covered operator shall verify the full legal name, date of birth, and location of each participant before permitting the first order, and shall re-verify an existing account before permitting further activity where verification has not been performed to this standard.</w:t>
      </w:r>
    </w:p>
    <w:p>
      <w:pPr>
        <w:ind w:left="432" w:hanging="432"/>
        <w:jc w:val="both"/>
      </w:pPr>
      <w:r>
        <w:rPr>
          <w:rFonts w:ascii="Times New Roman" w:hAnsi="Times New Roman"/>
          <w:b/>
          <w:sz w:val="22"/>
        </w:rPr>
        <w:t xml:space="preserve">(c)  </w:t>
      </w:r>
      <w:r>
        <w:rPr>
          <w:rFonts w:ascii="Times New Roman" w:hAnsi="Times New Roman"/>
          <w:sz w:val="22"/>
        </w:rPr>
        <w:t>A covered operator shall employ location verification reasonably designed to prevent a participant from trading from a jurisdiction in which the covered operator is not authorized to offer the covered contract, and shall re-evaluate on a change of location.</w:t>
      </w:r>
    </w:p>
    <w:p>
      <w:pPr>
        <w:ind w:left="432" w:hanging="432"/>
        <w:jc w:val="both"/>
      </w:pPr>
      <w:r>
        <w:rPr>
          <w:rFonts w:ascii="Times New Roman" w:hAnsi="Times New Roman"/>
          <w:b/>
          <w:sz w:val="22"/>
        </w:rPr>
        <w:t xml:space="preserve">(d)  </w:t>
      </w:r>
      <w:r>
        <w:rPr>
          <w:rFonts w:ascii="Times New Roman" w:hAnsi="Times New Roman"/>
          <w:sz w:val="22"/>
        </w:rPr>
        <w:t>A covered operator shall screen each applicant against applicable exclusion programs, restricted lists under § 402, and sanctions lists before permitting the first order, and periodically thereafter.</w:t>
      </w:r>
    </w:p>
    <w:p>
      <w:pPr>
        <w:pStyle w:val="Heading2"/>
      </w:pPr>
      <w:r>
        <w:rPr>
          <w:rFonts w:ascii="Times New Roman" w:hAnsi="Times New Roman"/>
          <w:b/>
          <w:color w:val="143C46"/>
          <w:sz w:val="23"/>
        </w:rPr>
        <w:t xml:space="preserve">§ 404.  </w:t>
      </w:r>
      <w:r>
        <w:rPr>
          <w:rFonts w:ascii="Times New Roman" w:hAnsi="Times New Roman"/>
          <w:b/>
          <w:color w:val="000000"/>
          <w:sz w:val="23"/>
        </w:rPr>
        <w:t>Customer identification and anti-money laundering</w:t>
      </w:r>
    </w:p>
    <w:p>
      <w:pPr>
        <w:ind w:left="432" w:hanging="432"/>
        <w:jc w:val="both"/>
      </w:pPr>
      <w:r>
        <w:rPr>
          <w:rFonts w:ascii="Times New Roman" w:hAnsi="Times New Roman"/>
          <w:b/>
          <w:sz w:val="22"/>
        </w:rPr>
        <w:t xml:space="preserve">(a)  </w:t>
      </w:r>
      <w:r>
        <w:rPr>
          <w:rFonts w:ascii="Times New Roman" w:hAnsi="Times New Roman"/>
          <w:sz w:val="22"/>
        </w:rPr>
        <w:t>A covered operator shall maintain a written customer identification program that identifies and verifies each participant, retains verification records, and screens against government lists.</w:t>
      </w:r>
    </w:p>
    <w:p>
      <w:pPr>
        <w:ind w:left="432" w:hanging="432"/>
        <w:jc w:val="both"/>
      </w:pPr>
      <w:r>
        <w:rPr>
          <w:rFonts w:ascii="Times New Roman" w:hAnsi="Times New Roman"/>
          <w:b/>
          <w:sz w:val="22"/>
        </w:rPr>
        <w:t xml:space="preserve">(b)  </w:t>
      </w:r>
      <w:r>
        <w:rPr>
          <w:rFonts w:ascii="Times New Roman" w:hAnsi="Times New Roman"/>
          <w:sz w:val="22"/>
        </w:rPr>
        <w:t>A covered operator shall identify the beneficial owner of any account not held in the name of the individual trading it, and shall prohibit an account maintained for the benefit of an undisclosed person.</w:t>
      </w:r>
    </w:p>
    <w:p>
      <w:pPr>
        <w:ind w:left="432" w:hanging="432"/>
        <w:jc w:val="both"/>
      </w:pPr>
      <w:r>
        <w:rPr>
          <w:rFonts w:ascii="Times New Roman" w:hAnsi="Times New Roman"/>
          <w:b/>
          <w:sz w:val="22"/>
        </w:rPr>
        <w:t xml:space="preserve">(c)  </w:t>
      </w:r>
      <w:r>
        <w:rPr>
          <w:rFonts w:ascii="Times New Roman" w:hAnsi="Times New Roman"/>
          <w:sz w:val="22"/>
        </w:rPr>
        <w:t>A covered operator shall monitor for, and report in accordance with applicable law, transactions indicating possible structuring, layering, use of a third party's funds, or trading unconnected to any apparent economic purpose.</w:t>
      </w:r>
    </w:p>
    <w:p>
      <w:pPr>
        <w:ind w:left="432" w:hanging="432"/>
        <w:jc w:val="both"/>
      </w:pPr>
      <w:r>
        <w:rPr>
          <w:rFonts w:ascii="Times New Roman" w:hAnsi="Times New Roman"/>
          <w:b/>
          <w:sz w:val="22"/>
        </w:rPr>
        <w:t xml:space="preserve">(d)  </w:t>
      </w:r>
      <w:r>
        <w:rPr>
          <w:rFonts w:ascii="Times New Roman" w:hAnsi="Times New Roman"/>
          <w:sz w:val="22"/>
        </w:rPr>
        <w:t>A covered operator shall not permit a participant to fund an account by a method that defeats identification of the source of funds.</w:t>
      </w:r>
    </w:p>
    <w:p>
      <w:pPr>
        <w:ind w:left="432" w:hanging="432"/>
        <w:jc w:val="both"/>
      </w:pPr>
      <w:r>
        <w:rPr>
          <w:rFonts w:ascii="Times New Roman" w:hAnsi="Times New Roman"/>
          <w:b/>
          <w:sz w:val="22"/>
        </w:rPr>
        <w:t xml:space="preserve">(e)  </w:t>
      </w:r>
      <w:r>
        <w:rPr>
          <w:rFonts w:ascii="Times New Roman" w:hAnsi="Times New Roman"/>
          <w:sz w:val="22"/>
        </w:rPr>
        <w:t>A covered operator shall not extend credit to a participant for the purpose of entering into a covered contract.</w:t>
      </w:r>
    </w:p>
    <w:p>
      <w:pPr>
        <w:pStyle w:val="Heading2"/>
      </w:pPr>
      <w:r>
        <w:rPr>
          <w:rFonts w:ascii="Times New Roman" w:hAnsi="Times New Roman"/>
          <w:b/>
          <w:color w:val="143C46"/>
          <w:sz w:val="23"/>
        </w:rPr>
        <w:t xml:space="preserve">§ 405.  </w:t>
      </w:r>
      <w:r>
        <w:rPr>
          <w:rFonts w:ascii="Times New Roman" w:hAnsi="Times New Roman"/>
          <w:b/>
          <w:color w:val="000000"/>
          <w:sz w:val="23"/>
        </w:rPr>
        <w:t>Surveillance and independent integrity monitoring</w:t>
      </w:r>
    </w:p>
    <w:p>
      <w:pPr>
        <w:ind w:left="432" w:hanging="432"/>
        <w:jc w:val="both"/>
      </w:pPr>
      <w:r>
        <w:rPr>
          <w:rFonts w:ascii="Times New Roman" w:hAnsi="Times New Roman"/>
          <w:b/>
          <w:sz w:val="22"/>
        </w:rPr>
        <w:t xml:space="preserve">(a)  </w:t>
      </w:r>
      <w:r>
        <w:rPr>
          <w:rFonts w:ascii="Times New Roman" w:hAnsi="Times New Roman"/>
          <w:sz w:val="22"/>
        </w:rPr>
        <w:t>A covered operator shall conduct automated surveillance of trading in covered contracts sufficient to detect conduct prohibited by § 401, including trading patterns correlated with the timing of non-public developments in the underlying event.</w:t>
      </w:r>
    </w:p>
    <w:p>
      <w:pPr>
        <w:ind w:left="432" w:hanging="432"/>
        <w:jc w:val="both"/>
      </w:pPr>
      <w:r>
        <w:rPr>
          <w:rFonts w:ascii="Times New Roman" w:hAnsi="Times New Roman"/>
          <w:b/>
          <w:sz w:val="22"/>
        </w:rPr>
        <w:t xml:space="preserve">(b)  </w:t>
      </w:r>
      <w:r>
        <w:rPr>
          <w:rFonts w:ascii="Times New Roman" w:hAnsi="Times New Roman"/>
          <w:sz w:val="22"/>
        </w:rPr>
        <w:t>A covered operator shall engage an independent integrity monitor that is not an affiliate and has no financial interest in the covered operator's trading volume. The monitor shall:</w:t>
      </w:r>
    </w:p>
    <w:p>
      <w:pPr>
        <w:ind w:left="864" w:hanging="432"/>
        <w:jc w:val="both"/>
      </w:pPr>
      <w:r>
        <w:rPr>
          <w:rFonts w:ascii="Times New Roman" w:hAnsi="Times New Roman"/>
          <w:b/>
          <w:sz w:val="22"/>
        </w:rPr>
        <w:t xml:space="preserve">(1)  </w:t>
      </w:r>
      <w:r>
        <w:rPr>
          <w:rFonts w:ascii="Times New Roman" w:hAnsi="Times New Roman"/>
          <w:sz w:val="22"/>
        </w:rPr>
        <w:t>collect and analyze information to identify integrity concerns;</w:t>
      </w:r>
    </w:p>
    <w:p>
      <w:pPr>
        <w:ind w:left="864" w:hanging="432"/>
        <w:jc w:val="both"/>
      </w:pPr>
      <w:r>
        <w:rPr>
          <w:rFonts w:ascii="Times New Roman" w:hAnsi="Times New Roman"/>
          <w:b/>
          <w:sz w:val="22"/>
        </w:rPr>
        <w:t xml:space="preserve">(2)  </w:t>
      </w:r>
      <w:r>
        <w:rPr>
          <w:rFonts w:ascii="Times New Roman" w:hAnsi="Times New Roman"/>
          <w:sz w:val="22"/>
        </w:rPr>
        <w:t>report unusual activity to the covered operator, to any applicable regulatory authority, and where relevant to the body governing the underlying event, promptly upon identification;</w:t>
      </w:r>
    </w:p>
    <w:p>
      <w:pPr>
        <w:ind w:left="864" w:hanging="432"/>
        <w:jc w:val="both"/>
      </w:pPr>
      <w:r>
        <w:rPr>
          <w:rFonts w:ascii="Times New Roman" w:hAnsi="Times New Roman"/>
          <w:b/>
          <w:sz w:val="22"/>
        </w:rPr>
        <w:t xml:space="preserve">(3)  </w:t>
      </w:r>
      <w:r>
        <w:rPr>
          <w:rFonts w:ascii="Times New Roman" w:hAnsi="Times New Roman"/>
          <w:sz w:val="22"/>
        </w:rPr>
        <w:t>share reports with other integrity monitors to the extent necessary to identify cross-platform conduct;</w:t>
      </w:r>
    </w:p>
    <w:p>
      <w:pPr>
        <w:ind w:left="864" w:hanging="432"/>
        <w:jc w:val="both"/>
      </w:pPr>
      <w:r>
        <w:rPr>
          <w:rFonts w:ascii="Times New Roman" w:hAnsi="Times New Roman"/>
          <w:b/>
          <w:sz w:val="22"/>
        </w:rPr>
        <w:t xml:space="preserve">(4)  </w:t>
      </w:r>
      <w:r>
        <w:rPr>
          <w:rFonts w:ascii="Times New Roman" w:hAnsi="Times New Roman"/>
          <w:sz w:val="22"/>
        </w:rPr>
        <w:t>take corrective action upon discovery of nonconforming work or unfollowed procedure, and notify the covered operator and any applicable regulatory authority;</w:t>
      </w:r>
    </w:p>
    <w:p>
      <w:pPr>
        <w:ind w:left="864" w:hanging="432"/>
        <w:jc w:val="both"/>
      </w:pPr>
      <w:r>
        <w:rPr>
          <w:rFonts w:ascii="Times New Roman" w:hAnsi="Times New Roman"/>
          <w:b/>
          <w:sz w:val="22"/>
        </w:rPr>
        <w:t xml:space="preserve">(5)  </w:t>
      </w:r>
      <w:r>
        <w:rPr>
          <w:rFonts w:ascii="Times New Roman" w:hAnsi="Times New Roman"/>
          <w:sz w:val="22"/>
        </w:rPr>
        <w:t>maintain a training program for its personnel, with records retained not less than three years; and</w:t>
      </w:r>
    </w:p>
    <w:p>
      <w:pPr>
        <w:ind w:left="864" w:hanging="432"/>
        <w:jc w:val="both"/>
      </w:pPr>
      <w:r>
        <w:rPr>
          <w:rFonts w:ascii="Times New Roman" w:hAnsi="Times New Roman"/>
          <w:b/>
          <w:sz w:val="22"/>
        </w:rPr>
        <w:t xml:space="preserve">(6)  </w:t>
      </w:r>
      <w:r>
        <w:rPr>
          <w:rFonts w:ascii="Times New Roman" w:hAnsi="Times New Roman"/>
          <w:sz w:val="22"/>
        </w:rPr>
        <w:t>retain records of its monitoring activity not less than five years.</w:t>
      </w:r>
    </w:p>
    <w:p>
      <w:pPr>
        <w:ind w:left="432" w:hanging="432"/>
        <w:jc w:val="both"/>
      </w:pPr>
      <w:r>
        <w:rPr>
          <w:rFonts w:ascii="Times New Roman" w:hAnsi="Times New Roman"/>
          <w:b/>
          <w:sz w:val="22"/>
        </w:rPr>
        <w:t xml:space="preserve">(c)  </w:t>
      </w:r>
      <w:r>
        <w:rPr>
          <w:rFonts w:ascii="Times New Roman" w:hAnsi="Times New Roman"/>
          <w:sz w:val="22"/>
        </w:rPr>
        <w:t>A covered operator shall report to any applicable regulatory authority, within twenty-four hours of identification, any conduct it reasonably believes violates § 401.</w:t>
      </w:r>
    </w:p>
    <w:p>
      <w:pPr>
        <w:ind w:left="432" w:hanging="432"/>
        <w:jc w:val="both"/>
      </w:pPr>
      <w:r>
        <w:rPr>
          <w:rFonts w:ascii="Times New Roman" w:hAnsi="Times New Roman"/>
          <w:b/>
          <w:sz w:val="22"/>
        </w:rPr>
        <w:t xml:space="preserve">(d)  </w:t>
      </w:r>
      <w:r>
        <w:rPr>
          <w:rFonts w:ascii="Times New Roman" w:hAnsi="Times New Roman"/>
          <w:sz w:val="22"/>
        </w:rPr>
        <w:t>Integrity monitoring reports are confidential and shall not be used for any purpose other than those stated in this Part.</w:t>
      </w:r>
    </w:p>
    <w:p>
      <w:pPr>
        <w:spacing w:before="240"/>
        <w:pBdr>
          <w:top w:val="single" w:sz="4" w:space="6" w:color="8A8A8A"/>
        </w:pBdr>
      </w:pPr>
      <w:r>
        <w:rPr>
          <w:rFonts w:ascii="Times New Roman" w:hAnsi="Times New Roman"/>
          <w:i/>
          <w:color w:val="555555"/>
          <w:sz w:val="17"/>
        </w:rPr>
        <w:t>Basis: 7 U.S.C. §§ 6c, 7, 7a-2; 17 C.F.R. §§ 38, 40.11, 180.1; In re Santos, CFTC Docket No. 26-05 (July 31, 2026); CFTC Division of Enforcement Advisory (Feb. 25, 2026); CFTC Letter 26-08 (Mar. 12, 2026); Ohio Admin. Code 3775-16-10, 3775-16-12, ch. 3775-14; N.J.A.C. 13:69G, 13:69O-1.3; 31 C.F.R. pts. 1010, 1021; 31 U.S.C. ch. 53; S. 4060, 119th Cong. §§ 4, 9 (2026).</w:t>
      </w:r>
    </w:p>
    <w:p>
      <w:r>
        <w:br w:type="page"/>
      </w:r>
    </w:p>
    <w:p>
      <w:pPr>
        <w:spacing w:after="40"/>
      </w:pPr>
      <w:r>
        <w:rPr>
          <w:rFonts w:ascii="Calibri" w:hAnsi="Calibri"/>
          <w:b/>
          <w:color w:val="143C46"/>
          <w:sz w:val="18"/>
        </w:rPr>
        <w:t>PART 500</w:t>
      </w:r>
    </w:p>
    <w:p>
      <w:pPr>
        <w:pStyle w:val="Heading1"/>
        <w:spacing w:before="0"/>
        <w:pBdr>
          <w:bottom w:val="single" w:sz="8" w:space="6" w:color="143C46"/>
        </w:pBdr>
      </w:pPr>
      <w:r>
        <w:rPr>
          <w:rFonts w:ascii="Times New Roman" w:hAnsi="Times New Roman"/>
          <w:b/>
          <w:color w:val="000000"/>
          <w:sz w:val="30"/>
        </w:rPr>
        <w:t>Contract Integrity and Settlement</w:t>
      </w:r>
    </w:p>
    <w:p>
      <w:pPr>
        <w:spacing w:before="200" w:after="200"/>
        <w:ind w:left="360" w:right="288"/>
        <w:pBdr>
          <w:top w:val="single" w:sz="4" w:space="8" w:color="B9C6CA"/>
          <w:bottom w:val="single" w:sz="4" w:space="8" w:color="B9C6CA"/>
          <w:left w:val="single" w:sz="4" w:space="8" w:color="B9C6CA"/>
          <w:right w:val="single" w:sz="4" w:space="8" w:color="B9C6CA"/>
        </w:pBdr>
        <w:shd w:val="clear" w:color="auto" w:fill="F2F6F7"/>
      </w:pPr>
      <w:r>
        <w:rPr>
          <w:rFonts w:ascii="Calibri" w:hAnsi="Calibri"/>
          <w:b/>
          <w:color w:val="143C46"/>
          <w:sz w:val="16"/>
        </w:rPr>
        <w:t>INTRODUCTORY NOTE</w:t>
        <w:br/>
      </w:r>
      <w:r>
        <w:rPr>
          <w:rFonts w:ascii="Times New Roman" w:hAnsi="Times New Roman"/>
          <w:sz w:val="20"/>
        </w:rPr>
        <w:t>This Part has no direct precedent. Gaming regulators specify approved wager types and require that outcomes be verifiable, but the outcome of a sporting event is determined by an official scoreboard and is rarely contested. Contracts on elections, policy decisions, corporate actions, weather, and public statements resolve against sources that may be ambiguous, revisable, delayed, or absent. The participant's loss in such a case is caused not by the event but by the operator's discretion in reading it. That discretion is unregulated everywhere in the surveyed corpus, and it is the exposure most specific to this product.</w:t>
      </w:r>
    </w:p>
    <w:p>
      <w:pPr>
        <w:pStyle w:val="Heading2"/>
      </w:pPr>
      <w:r>
        <w:rPr>
          <w:rFonts w:ascii="Times New Roman" w:hAnsi="Times New Roman"/>
          <w:b/>
          <w:color w:val="143C46"/>
          <w:sz w:val="23"/>
        </w:rPr>
        <w:t xml:space="preserve">§ 501.  </w:t>
      </w:r>
      <w:r>
        <w:rPr>
          <w:rFonts w:ascii="Times New Roman" w:hAnsi="Times New Roman"/>
          <w:b/>
          <w:color w:val="000000"/>
          <w:sz w:val="23"/>
        </w:rPr>
        <w:t>Resolution criteria</w:t>
      </w:r>
    </w:p>
    <w:p>
      <w:pPr>
        <w:ind w:left="432" w:hanging="432"/>
        <w:jc w:val="both"/>
      </w:pPr>
      <w:r>
        <w:rPr>
          <w:rFonts w:ascii="Times New Roman" w:hAnsi="Times New Roman"/>
          <w:b/>
          <w:sz w:val="22"/>
        </w:rPr>
        <w:t xml:space="preserve">(a)  </w:t>
      </w:r>
      <w:r>
        <w:rPr>
          <w:rFonts w:ascii="Times New Roman" w:hAnsi="Times New Roman"/>
          <w:sz w:val="22"/>
        </w:rPr>
        <w:t>A covered operator shall, before listing a covered contract and continuously thereafter, publish for that contract:</w:t>
      </w:r>
    </w:p>
    <w:p>
      <w:pPr>
        <w:ind w:left="864" w:hanging="432"/>
        <w:jc w:val="both"/>
      </w:pPr>
      <w:r>
        <w:rPr>
          <w:rFonts w:ascii="Times New Roman" w:hAnsi="Times New Roman"/>
          <w:b/>
          <w:sz w:val="22"/>
        </w:rPr>
        <w:t xml:space="preserve">(1)  </w:t>
      </w:r>
      <w:r>
        <w:rPr>
          <w:rFonts w:ascii="Times New Roman" w:hAnsi="Times New Roman"/>
          <w:sz w:val="22"/>
        </w:rPr>
        <w:t>the precise condition that determines settlement, stated so that a reasonable participant can determine the outcome from the resolution source without exercise of judgment by the covered operator;</w:t>
      </w:r>
    </w:p>
    <w:p>
      <w:pPr>
        <w:ind w:left="864" w:hanging="432"/>
        <w:jc w:val="both"/>
      </w:pPr>
      <w:r>
        <w:rPr>
          <w:rFonts w:ascii="Times New Roman" w:hAnsi="Times New Roman"/>
          <w:b/>
          <w:sz w:val="22"/>
        </w:rPr>
        <w:t xml:space="preserve">(2)  </w:t>
      </w:r>
      <w:r>
        <w:rPr>
          <w:rFonts w:ascii="Times New Roman" w:hAnsi="Times New Roman"/>
          <w:sz w:val="22"/>
        </w:rPr>
        <w:t>the resolution source, identified specifically;</w:t>
      </w:r>
    </w:p>
    <w:p>
      <w:pPr>
        <w:ind w:left="864" w:hanging="432"/>
        <w:jc w:val="both"/>
      </w:pPr>
      <w:r>
        <w:rPr>
          <w:rFonts w:ascii="Times New Roman" w:hAnsi="Times New Roman"/>
          <w:b/>
          <w:sz w:val="22"/>
        </w:rPr>
        <w:t xml:space="preserve">(3)  </w:t>
      </w:r>
      <w:r>
        <w:rPr>
          <w:rFonts w:ascii="Times New Roman" w:hAnsi="Times New Roman"/>
          <w:sz w:val="22"/>
        </w:rPr>
        <w:t>the time at which the resolution source will be consulted;</w:t>
      </w:r>
    </w:p>
    <w:p>
      <w:pPr>
        <w:ind w:left="864" w:hanging="432"/>
        <w:jc w:val="both"/>
      </w:pPr>
      <w:r>
        <w:rPr>
          <w:rFonts w:ascii="Times New Roman" w:hAnsi="Times New Roman"/>
          <w:b/>
          <w:sz w:val="22"/>
        </w:rPr>
        <w:t xml:space="preserve">(4)  </w:t>
      </w:r>
      <w:r>
        <w:rPr>
          <w:rFonts w:ascii="Times New Roman" w:hAnsi="Times New Roman"/>
          <w:sz w:val="22"/>
        </w:rPr>
        <w:t>the treatment of the contract if the resolution source does not publish, publishes ambiguously, or ceases to exist;</w:t>
      </w:r>
    </w:p>
    <w:p>
      <w:pPr>
        <w:ind w:left="864" w:hanging="432"/>
        <w:jc w:val="both"/>
      </w:pPr>
      <w:r>
        <w:rPr>
          <w:rFonts w:ascii="Times New Roman" w:hAnsi="Times New Roman"/>
          <w:b/>
          <w:sz w:val="22"/>
        </w:rPr>
        <w:t xml:space="preserve">(5)  </w:t>
      </w:r>
      <w:r>
        <w:rPr>
          <w:rFonts w:ascii="Times New Roman" w:hAnsi="Times New Roman"/>
          <w:sz w:val="22"/>
        </w:rPr>
        <w:t>the treatment of the contract if the underlying event is cancelled, postponed beyond a stated date, or materially altered; and</w:t>
      </w:r>
    </w:p>
    <w:p>
      <w:pPr>
        <w:ind w:left="864" w:hanging="432"/>
        <w:jc w:val="both"/>
      </w:pPr>
      <w:r>
        <w:rPr>
          <w:rFonts w:ascii="Times New Roman" w:hAnsi="Times New Roman"/>
          <w:b/>
          <w:sz w:val="22"/>
        </w:rPr>
        <w:t xml:space="preserve">(6)  </w:t>
      </w:r>
      <w:r>
        <w:rPr>
          <w:rFonts w:ascii="Times New Roman" w:hAnsi="Times New Roman"/>
          <w:sz w:val="22"/>
        </w:rPr>
        <w:t>the treatment of the contract if the resolution source revises its determination after settlement.</w:t>
      </w:r>
    </w:p>
    <w:p>
      <w:pPr>
        <w:ind w:left="432" w:hanging="432"/>
        <w:jc w:val="both"/>
      </w:pPr>
      <w:r>
        <w:rPr>
          <w:rFonts w:ascii="Times New Roman" w:hAnsi="Times New Roman"/>
          <w:b/>
          <w:sz w:val="22"/>
        </w:rPr>
        <w:t xml:space="preserve">(b)  </w:t>
      </w:r>
      <w:r>
        <w:rPr>
          <w:rFonts w:ascii="Times New Roman" w:hAnsi="Times New Roman"/>
          <w:sz w:val="22"/>
        </w:rPr>
        <w:t>A covered operator shall not list a covered contract for which the matters in paragraph (a) cannot be stated in advance.</w:t>
      </w:r>
    </w:p>
    <w:p>
      <w:pPr>
        <w:ind w:left="432" w:hanging="432"/>
        <w:jc w:val="both"/>
      </w:pPr>
      <w:r>
        <w:rPr>
          <w:rFonts w:ascii="Times New Roman" w:hAnsi="Times New Roman"/>
          <w:b/>
          <w:sz w:val="22"/>
        </w:rPr>
        <w:t xml:space="preserve">(c)  </w:t>
      </w:r>
      <w:r>
        <w:rPr>
          <w:rFonts w:ascii="Times New Roman" w:hAnsi="Times New Roman"/>
          <w:sz w:val="22"/>
        </w:rPr>
        <w:t>A covered operator shall not amend the resolution criteria of a listed covered contract after the first order has been executed, except to correct a manifest error under § 503.</w:t>
      </w:r>
    </w:p>
    <w:p>
      <w:pPr>
        <w:pStyle w:val="Heading2"/>
      </w:pPr>
      <w:r>
        <w:rPr>
          <w:rFonts w:ascii="Times New Roman" w:hAnsi="Times New Roman"/>
          <w:b/>
          <w:color w:val="143C46"/>
          <w:sz w:val="23"/>
        </w:rPr>
        <w:t xml:space="preserve">§ 502.  </w:t>
      </w:r>
      <w:r>
        <w:rPr>
          <w:rFonts w:ascii="Times New Roman" w:hAnsi="Times New Roman"/>
          <w:b/>
          <w:color w:val="000000"/>
          <w:sz w:val="23"/>
        </w:rPr>
        <w:t>Independence of the resolution source</w:t>
      </w:r>
    </w:p>
    <w:p>
      <w:pPr>
        <w:ind w:left="432" w:hanging="432"/>
        <w:jc w:val="both"/>
      </w:pPr>
      <w:r>
        <w:rPr>
          <w:rFonts w:ascii="Times New Roman" w:hAnsi="Times New Roman"/>
          <w:b/>
          <w:sz w:val="22"/>
        </w:rPr>
        <w:t xml:space="preserve">(a)  </w:t>
      </w:r>
      <w:r>
        <w:rPr>
          <w:rFonts w:ascii="Times New Roman" w:hAnsi="Times New Roman"/>
          <w:sz w:val="22"/>
        </w:rPr>
        <w:t>A resolution source shall be independent of the covered operator and of its affiliates.</w:t>
      </w:r>
    </w:p>
    <w:p>
      <w:pPr>
        <w:ind w:left="432" w:hanging="432"/>
        <w:jc w:val="both"/>
      </w:pPr>
      <w:r>
        <w:rPr>
          <w:rFonts w:ascii="Times New Roman" w:hAnsi="Times New Roman"/>
          <w:b/>
          <w:sz w:val="22"/>
        </w:rPr>
        <w:t xml:space="preserve">(b)  </w:t>
      </w:r>
      <w:r>
        <w:rPr>
          <w:rFonts w:ascii="Times New Roman" w:hAnsi="Times New Roman"/>
          <w:sz w:val="22"/>
        </w:rPr>
        <w:t>A covered operator shall not designate itself, an affiliate, or a person it compensates for the determination as the resolution source, except where paragraph (c) applies.</w:t>
      </w:r>
    </w:p>
    <w:p>
      <w:pPr>
        <w:ind w:left="432" w:hanging="432"/>
        <w:jc w:val="both"/>
      </w:pPr>
      <w:r>
        <w:rPr>
          <w:rFonts w:ascii="Times New Roman" w:hAnsi="Times New Roman"/>
          <w:b/>
          <w:sz w:val="22"/>
        </w:rPr>
        <w:t xml:space="preserve">(c)  </w:t>
      </w:r>
      <w:r>
        <w:rPr>
          <w:rFonts w:ascii="Times New Roman" w:hAnsi="Times New Roman"/>
          <w:sz w:val="22"/>
        </w:rPr>
        <w:t>Where no independent resolution source exists for an event, a covered operator may determine the outcome only if it:</w:t>
      </w:r>
    </w:p>
    <w:p>
      <w:pPr>
        <w:ind w:left="864" w:hanging="432"/>
        <w:jc w:val="both"/>
      </w:pPr>
      <w:r>
        <w:rPr>
          <w:rFonts w:ascii="Times New Roman" w:hAnsi="Times New Roman"/>
          <w:b/>
          <w:sz w:val="22"/>
        </w:rPr>
        <w:t xml:space="preserve">(1)  </w:t>
      </w:r>
      <w:r>
        <w:rPr>
          <w:rFonts w:ascii="Times New Roman" w:hAnsi="Times New Roman"/>
          <w:sz w:val="22"/>
        </w:rPr>
        <w:t>discloses that it is the resolution source, prominently and at the point of order entry;</w:t>
      </w:r>
    </w:p>
    <w:p>
      <w:pPr>
        <w:ind w:left="864" w:hanging="432"/>
        <w:jc w:val="both"/>
      </w:pPr>
      <w:r>
        <w:rPr>
          <w:rFonts w:ascii="Times New Roman" w:hAnsi="Times New Roman"/>
          <w:b/>
          <w:sz w:val="22"/>
        </w:rPr>
        <w:t xml:space="preserve">(2)  </w:t>
      </w:r>
      <w:r>
        <w:rPr>
          <w:rFonts w:ascii="Times New Roman" w:hAnsi="Times New Roman"/>
          <w:sz w:val="22"/>
        </w:rPr>
        <w:t>publishes in advance the evidence it will consider and the standard it will apply;</w:t>
      </w:r>
    </w:p>
    <w:p>
      <w:pPr>
        <w:ind w:left="864" w:hanging="432"/>
        <w:jc w:val="both"/>
      </w:pPr>
      <w:r>
        <w:rPr>
          <w:rFonts w:ascii="Times New Roman" w:hAnsi="Times New Roman"/>
          <w:b/>
          <w:sz w:val="22"/>
        </w:rPr>
        <w:t xml:space="preserve">(3)  </w:t>
      </w:r>
      <w:r>
        <w:rPr>
          <w:rFonts w:ascii="Times New Roman" w:hAnsi="Times New Roman"/>
          <w:sz w:val="22"/>
        </w:rPr>
        <w:t>publishes its determination with the reasoning and the evidence relied on; and</w:t>
      </w:r>
    </w:p>
    <w:p>
      <w:pPr>
        <w:ind w:left="864" w:hanging="432"/>
        <w:jc w:val="both"/>
      </w:pPr>
      <w:r>
        <w:rPr>
          <w:rFonts w:ascii="Times New Roman" w:hAnsi="Times New Roman"/>
          <w:b/>
          <w:sz w:val="22"/>
        </w:rPr>
        <w:t xml:space="preserve">(4)  </w:t>
      </w:r>
      <w:r>
        <w:rPr>
          <w:rFonts w:ascii="Times New Roman" w:hAnsi="Times New Roman"/>
          <w:sz w:val="22"/>
        </w:rPr>
        <w:t>submits determinations under this paragraph to review under § 504.</w:t>
      </w:r>
    </w:p>
    <w:p>
      <w:pPr>
        <w:ind w:left="432" w:hanging="432"/>
        <w:jc w:val="both"/>
      </w:pPr>
      <w:r>
        <w:rPr>
          <w:rFonts w:ascii="Times New Roman" w:hAnsi="Times New Roman"/>
          <w:b/>
          <w:sz w:val="22"/>
        </w:rPr>
        <w:t xml:space="preserve">(d)  </w:t>
      </w:r>
      <w:r>
        <w:rPr>
          <w:rFonts w:ascii="Times New Roman" w:hAnsi="Times New Roman"/>
          <w:sz w:val="22"/>
        </w:rPr>
        <w:t>A covered operator shall not list a covered contract whose outcome depends on a determination by a person holding a position in that contract.</w:t>
      </w:r>
    </w:p>
    <w:p>
      <w:pPr>
        <w:pStyle w:val="Heading2"/>
      </w:pPr>
      <w:r>
        <w:rPr>
          <w:rFonts w:ascii="Times New Roman" w:hAnsi="Times New Roman"/>
          <w:b/>
          <w:color w:val="143C46"/>
          <w:sz w:val="23"/>
        </w:rPr>
        <w:t xml:space="preserve">§ 503.  </w:t>
      </w:r>
      <w:r>
        <w:rPr>
          <w:rFonts w:ascii="Times New Roman" w:hAnsi="Times New Roman"/>
          <w:b/>
          <w:color w:val="000000"/>
          <w:sz w:val="23"/>
        </w:rPr>
        <w:t>Settlement, error, and revision</w:t>
      </w:r>
    </w:p>
    <w:p>
      <w:pPr>
        <w:ind w:left="432" w:hanging="432"/>
        <w:jc w:val="both"/>
      </w:pPr>
      <w:r>
        <w:rPr>
          <w:rFonts w:ascii="Times New Roman" w:hAnsi="Times New Roman"/>
          <w:b/>
          <w:sz w:val="22"/>
        </w:rPr>
        <w:t xml:space="preserve">(a)  </w:t>
      </w:r>
      <w:r>
        <w:rPr>
          <w:rFonts w:ascii="Times New Roman" w:hAnsi="Times New Roman"/>
          <w:sz w:val="22"/>
        </w:rPr>
        <w:t>A covered operator shall settle a covered contract promptly after the resolution source is consulted, and shall publish the settlement value and the basis for it.</w:t>
      </w:r>
    </w:p>
    <w:p>
      <w:pPr>
        <w:ind w:left="432" w:hanging="432"/>
        <w:jc w:val="both"/>
      </w:pPr>
      <w:r>
        <w:rPr>
          <w:rFonts w:ascii="Times New Roman" w:hAnsi="Times New Roman"/>
          <w:b/>
          <w:sz w:val="22"/>
        </w:rPr>
        <w:t xml:space="preserve">(b)  </w:t>
      </w:r>
      <w:r>
        <w:rPr>
          <w:rFonts w:ascii="Times New Roman" w:hAnsi="Times New Roman"/>
          <w:b/>
          <w:sz w:val="22"/>
        </w:rPr>
        <w:t>Manifest error.</w:t>
      </w:r>
      <w:r>
        <w:rPr>
          <w:rFonts w:ascii="Times New Roman" w:hAnsi="Times New Roman"/>
          <w:sz w:val="22"/>
        </w:rPr>
        <w:t xml:space="preserve"> A covered operator may correct a settlement only where the settlement resulted from a manifest error, being a demonstrable failure to apply the published resolution criteria to the published resolution source. A correction shall be made within a period stated in advance, shall be published with reasons, and shall be reported under § 603.</w:t>
      </w:r>
    </w:p>
    <w:p>
      <w:pPr>
        <w:ind w:left="432" w:hanging="432"/>
        <w:jc w:val="both"/>
      </w:pPr>
      <w:r>
        <w:rPr>
          <w:rFonts w:ascii="Times New Roman" w:hAnsi="Times New Roman"/>
          <w:b/>
          <w:sz w:val="22"/>
        </w:rPr>
        <w:t xml:space="preserve">(c)  </w:t>
      </w:r>
      <w:r>
        <w:rPr>
          <w:rFonts w:ascii="Times New Roman" w:hAnsi="Times New Roman"/>
          <w:sz w:val="22"/>
        </w:rPr>
        <w:t>A covered operator shall not reverse a settlement on the ground that the outcome was unexpected, that the resolution source was mistaken, or that the covered operator would have preferred a different resolution, where the published criteria were correctly applied.</w:t>
      </w:r>
    </w:p>
    <w:p>
      <w:pPr>
        <w:ind w:left="432" w:hanging="432"/>
        <w:jc w:val="both"/>
      </w:pPr>
      <w:r>
        <w:rPr>
          <w:rFonts w:ascii="Times New Roman" w:hAnsi="Times New Roman"/>
          <w:b/>
          <w:sz w:val="22"/>
        </w:rPr>
        <w:t xml:space="preserve">(d)  </w:t>
      </w:r>
      <w:r>
        <w:rPr>
          <w:rFonts w:ascii="Times New Roman" w:hAnsi="Times New Roman"/>
          <w:b/>
          <w:sz w:val="22"/>
        </w:rPr>
        <w:t>Early settlement.</w:t>
      </w:r>
      <w:r>
        <w:rPr>
          <w:rFonts w:ascii="Times New Roman" w:hAnsi="Times New Roman"/>
          <w:sz w:val="22"/>
        </w:rPr>
        <w:t xml:space="preserve"> A covered operator shall not settle a covered contract before the time stated under § 501(a)(3) unless the condition determining settlement has been irreversibly satisfied and the covered operator publishes the basis for that conclusion.</w:t>
      </w:r>
    </w:p>
    <w:p>
      <w:pPr>
        <w:ind w:left="432" w:hanging="432"/>
        <w:jc w:val="both"/>
      </w:pPr>
      <w:r>
        <w:rPr>
          <w:rFonts w:ascii="Times New Roman" w:hAnsi="Times New Roman"/>
          <w:b/>
          <w:sz w:val="22"/>
        </w:rPr>
        <w:t xml:space="preserve">(e)  </w:t>
      </w:r>
      <w:r>
        <w:rPr>
          <w:rFonts w:ascii="Times New Roman" w:hAnsi="Times New Roman"/>
          <w:b/>
          <w:sz w:val="22"/>
        </w:rPr>
        <w:t>Voiding.</w:t>
      </w:r>
      <w:r>
        <w:rPr>
          <w:rFonts w:ascii="Times New Roman" w:hAnsi="Times New Roman"/>
          <w:sz w:val="22"/>
        </w:rPr>
        <w:t xml:space="preserve"> A covered operator shall not void a covered contract except in the circumstances published under § 501(a)(4) and (a)(5), or where required by applicable law. On voiding, the covered operator shall return the amount at risk to each participant holding a position and shall publish the reason.</w:t>
      </w:r>
    </w:p>
    <w:p>
      <w:pPr>
        <w:ind w:left="432" w:hanging="432"/>
        <w:jc w:val="both"/>
      </w:pPr>
      <w:r>
        <w:rPr>
          <w:rFonts w:ascii="Times New Roman" w:hAnsi="Times New Roman"/>
          <w:b/>
          <w:sz w:val="22"/>
        </w:rPr>
        <w:t xml:space="preserve">(f)  </w:t>
      </w:r>
      <w:r>
        <w:rPr>
          <w:rFonts w:ascii="Times New Roman" w:hAnsi="Times New Roman"/>
          <w:sz w:val="22"/>
        </w:rPr>
        <w:t>A covered operator shall not apply a fee or charge to a voided contract.</w:t>
      </w:r>
    </w:p>
    <w:p>
      <w:pPr>
        <w:pStyle w:val="Heading2"/>
      </w:pPr>
      <w:r>
        <w:rPr>
          <w:rFonts w:ascii="Times New Roman" w:hAnsi="Times New Roman"/>
          <w:b/>
          <w:color w:val="143C46"/>
          <w:sz w:val="23"/>
        </w:rPr>
        <w:t xml:space="preserve">§ 504.  </w:t>
      </w:r>
      <w:r>
        <w:rPr>
          <w:rFonts w:ascii="Times New Roman" w:hAnsi="Times New Roman"/>
          <w:b/>
          <w:color w:val="000000"/>
          <w:sz w:val="23"/>
        </w:rPr>
        <w:t>Settlement disputes</w:t>
      </w:r>
    </w:p>
    <w:p>
      <w:pPr>
        <w:ind w:left="432" w:hanging="432"/>
        <w:jc w:val="both"/>
      </w:pPr>
      <w:r>
        <w:rPr>
          <w:rFonts w:ascii="Times New Roman" w:hAnsi="Times New Roman"/>
          <w:b/>
          <w:sz w:val="22"/>
        </w:rPr>
        <w:t xml:space="preserve">(a)  </w:t>
      </w:r>
      <w:r>
        <w:rPr>
          <w:rFonts w:ascii="Times New Roman" w:hAnsi="Times New Roman"/>
          <w:sz w:val="22"/>
        </w:rPr>
        <w:t>A covered operator shall maintain a procedure by which a participant may contest a settlement, stating the time within which a challenge must be brought, the information the participant must provide, and the time within which the covered operator will respond.</w:t>
      </w:r>
    </w:p>
    <w:p>
      <w:pPr>
        <w:ind w:left="432" w:hanging="432"/>
        <w:jc w:val="both"/>
      </w:pPr>
      <w:r>
        <w:rPr>
          <w:rFonts w:ascii="Times New Roman" w:hAnsi="Times New Roman"/>
          <w:b/>
          <w:sz w:val="22"/>
        </w:rPr>
        <w:t xml:space="preserve">(b)  </w:t>
      </w:r>
      <w:r>
        <w:rPr>
          <w:rFonts w:ascii="Times New Roman" w:hAnsi="Times New Roman"/>
          <w:sz w:val="22"/>
        </w:rPr>
        <w:t>A covered operator shall not require a participant to waive a right under applicable law as a condition of using the procedure.</w:t>
      </w:r>
    </w:p>
    <w:p>
      <w:pPr>
        <w:ind w:left="432" w:hanging="432"/>
        <w:jc w:val="both"/>
      </w:pPr>
      <w:r>
        <w:rPr>
          <w:rFonts w:ascii="Times New Roman" w:hAnsi="Times New Roman"/>
          <w:b/>
          <w:sz w:val="22"/>
        </w:rPr>
        <w:t xml:space="preserve">(c)  </w:t>
      </w:r>
      <w:r>
        <w:rPr>
          <w:rFonts w:ascii="Times New Roman" w:hAnsi="Times New Roman"/>
          <w:sz w:val="22"/>
        </w:rPr>
        <w:t>A covered operator shall provide for review of a contested settlement by a person who did not make the original determination.</w:t>
      </w:r>
    </w:p>
    <w:p>
      <w:pPr>
        <w:ind w:left="432" w:hanging="432"/>
        <w:jc w:val="both"/>
      </w:pPr>
      <w:r>
        <w:rPr>
          <w:rFonts w:ascii="Times New Roman" w:hAnsi="Times New Roman"/>
          <w:b/>
          <w:sz w:val="22"/>
        </w:rPr>
        <w:t xml:space="preserve">(d)  </w:t>
      </w:r>
      <w:r>
        <w:rPr>
          <w:rFonts w:ascii="Times New Roman" w:hAnsi="Times New Roman"/>
          <w:sz w:val="22"/>
        </w:rPr>
        <w:t>A covered operator shall publish, not less than quarterly, the number of settlements contested, the number sustained, and the number reversed.</w:t>
      </w:r>
    </w:p>
    <w:p>
      <w:pPr>
        <w:ind w:left="432" w:hanging="432"/>
        <w:jc w:val="both"/>
      </w:pPr>
      <w:r>
        <w:rPr>
          <w:rFonts w:ascii="Times New Roman" w:hAnsi="Times New Roman"/>
          <w:b/>
          <w:sz w:val="22"/>
        </w:rPr>
        <w:t xml:space="preserve">(e)  </w:t>
      </w:r>
      <w:r>
        <w:rPr>
          <w:rFonts w:ascii="Times New Roman" w:hAnsi="Times New Roman"/>
          <w:sz w:val="22"/>
        </w:rPr>
        <w:t>Where the covered operator was itself the resolution source under § 502(c), the review under paragraph (c) shall be conducted by a person independent of the covered operator.</w:t>
      </w:r>
    </w:p>
    <w:p>
      <w:pPr>
        <w:pStyle w:val="Heading2"/>
      </w:pPr>
      <w:r>
        <w:rPr>
          <w:rFonts w:ascii="Times New Roman" w:hAnsi="Times New Roman"/>
          <w:b/>
          <w:color w:val="143C46"/>
          <w:sz w:val="23"/>
        </w:rPr>
        <w:t xml:space="preserve">§ 505.  </w:t>
      </w:r>
      <w:r>
        <w:rPr>
          <w:rFonts w:ascii="Times New Roman" w:hAnsi="Times New Roman"/>
          <w:b/>
          <w:color w:val="000000"/>
          <w:sz w:val="23"/>
        </w:rPr>
        <w:t>Contract review before listing</w:t>
      </w:r>
    </w:p>
    <w:p>
      <w:pPr>
        <w:ind w:left="432" w:hanging="432"/>
        <w:jc w:val="both"/>
      </w:pPr>
      <w:r>
        <w:rPr>
          <w:rFonts w:ascii="Times New Roman" w:hAnsi="Times New Roman"/>
          <w:b/>
          <w:sz w:val="22"/>
        </w:rPr>
        <w:t xml:space="preserve">(a)  </w:t>
      </w:r>
      <w:r>
        <w:rPr>
          <w:rFonts w:ascii="Times New Roman" w:hAnsi="Times New Roman"/>
          <w:sz w:val="22"/>
        </w:rPr>
        <w:t>A covered operator shall document, before listing a covered contract, that:</w:t>
      </w:r>
    </w:p>
    <w:p>
      <w:pPr>
        <w:ind w:left="864" w:hanging="432"/>
        <w:jc w:val="both"/>
      </w:pPr>
      <w:r>
        <w:rPr>
          <w:rFonts w:ascii="Times New Roman" w:hAnsi="Times New Roman"/>
          <w:b/>
          <w:sz w:val="22"/>
        </w:rPr>
        <w:t xml:space="preserve">(1)  </w:t>
      </w:r>
      <w:r>
        <w:rPr>
          <w:rFonts w:ascii="Times New Roman" w:hAnsi="Times New Roman"/>
          <w:sz w:val="22"/>
        </w:rPr>
        <w:t>the outcome is verifiable;</w:t>
      </w:r>
    </w:p>
    <w:p>
      <w:pPr>
        <w:ind w:left="864" w:hanging="432"/>
        <w:jc w:val="both"/>
      </w:pPr>
      <w:r>
        <w:rPr>
          <w:rFonts w:ascii="Times New Roman" w:hAnsi="Times New Roman"/>
          <w:b/>
          <w:sz w:val="22"/>
        </w:rPr>
        <w:t xml:space="preserve">(2)  </w:t>
      </w:r>
      <w:r>
        <w:rPr>
          <w:rFonts w:ascii="Times New Roman" w:hAnsi="Times New Roman"/>
          <w:sz w:val="22"/>
        </w:rPr>
        <w:t>the outcome is generated by a process independent of the covered operator and its participants;</w:t>
      </w:r>
    </w:p>
    <w:p>
      <w:pPr>
        <w:ind w:left="864" w:hanging="432"/>
        <w:jc w:val="both"/>
      </w:pPr>
      <w:r>
        <w:rPr>
          <w:rFonts w:ascii="Times New Roman" w:hAnsi="Times New Roman"/>
          <w:b/>
          <w:sz w:val="22"/>
        </w:rPr>
        <w:t xml:space="preserve">(3)  </w:t>
      </w:r>
      <w:r>
        <w:rPr>
          <w:rFonts w:ascii="Times New Roman" w:hAnsi="Times New Roman"/>
          <w:sz w:val="22"/>
        </w:rPr>
        <w:t>the outcome is unlikely to be affected by the trading of the contract itself;</w:t>
      </w:r>
    </w:p>
    <w:p>
      <w:pPr>
        <w:ind w:left="864" w:hanging="432"/>
        <w:jc w:val="both"/>
      </w:pPr>
      <w:r>
        <w:rPr>
          <w:rFonts w:ascii="Times New Roman" w:hAnsi="Times New Roman"/>
          <w:b/>
          <w:sz w:val="22"/>
        </w:rPr>
        <w:t xml:space="preserve">(4)  </w:t>
      </w:r>
      <w:r>
        <w:rPr>
          <w:rFonts w:ascii="Times New Roman" w:hAnsi="Times New Roman"/>
          <w:sz w:val="22"/>
        </w:rPr>
        <w:t>the categories of influencing persons have been identified under § 402; and</w:t>
      </w:r>
    </w:p>
    <w:p>
      <w:pPr>
        <w:ind w:left="864" w:hanging="432"/>
        <w:jc w:val="both"/>
      </w:pPr>
      <w:r>
        <w:rPr>
          <w:rFonts w:ascii="Times New Roman" w:hAnsi="Times New Roman"/>
          <w:b/>
          <w:sz w:val="22"/>
        </w:rPr>
        <w:t xml:space="preserve">(5)  </w:t>
      </w:r>
      <w:r>
        <w:rPr>
          <w:rFonts w:ascii="Times New Roman" w:hAnsi="Times New Roman"/>
          <w:sz w:val="22"/>
        </w:rPr>
        <w:t>the resolution criteria satisfy § 501.</w:t>
      </w:r>
    </w:p>
    <w:p>
      <w:pPr>
        <w:ind w:left="432" w:hanging="432"/>
        <w:jc w:val="both"/>
      </w:pPr>
      <w:r>
        <w:rPr>
          <w:rFonts w:ascii="Times New Roman" w:hAnsi="Times New Roman"/>
          <w:b/>
          <w:sz w:val="22"/>
        </w:rPr>
        <w:t xml:space="preserve">(b)  </w:t>
      </w:r>
      <w:r>
        <w:rPr>
          <w:rFonts w:ascii="Times New Roman" w:hAnsi="Times New Roman"/>
          <w:sz w:val="22"/>
        </w:rPr>
        <w:t>A covered operator shall retain the documentation under paragraph (a) and shall produce it on request.</w:t>
      </w:r>
    </w:p>
    <w:p>
      <w:pPr>
        <w:spacing w:before="240"/>
        <w:pBdr>
          <w:top w:val="single" w:sz="4" w:space="6" w:color="8A8A8A"/>
        </w:pBdr>
      </w:pPr>
      <w:r>
        <w:rPr>
          <w:rFonts w:ascii="Times New Roman" w:hAnsi="Times New Roman"/>
          <w:i/>
          <w:color w:val="555555"/>
          <w:sz w:val="17"/>
        </w:rPr>
        <w:t>Basis: Original. Informed by 17 C.F.R. § 40.11; 7 U.S.C. § 7a-2(c)(5)(C); Ohio Admin. Code 3775-10-01, 3775-11-01, 3775-16-04; N.J.A.C. 13:69O-1.2; UKGC Remote Gambling and Software Technical Standards RTS 2, RTS 9; S. 4060, 119th Cong. §§ 4(d), 7(b)(2)(B) (2026).</w:t>
      </w:r>
    </w:p>
    <w:p>
      <w:r>
        <w:br w:type="page"/>
      </w:r>
    </w:p>
    <w:p>
      <w:pPr>
        <w:spacing w:after="40"/>
      </w:pPr>
      <w:r>
        <w:rPr>
          <w:rFonts w:ascii="Calibri" w:hAnsi="Calibri"/>
          <w:b/>
          <w:color w:val="143C46"/>
          <w:sz w:val="18"/>
        </w:rPr>
        <w:t>PART 600</w:t>
      </w:r>
    </w:p>
    <w:p>
      <w:pPr>
        <w:pStyle w:val="Heading1"/>
        <w:spacing w:before="0"/>
        <w:pBdr>
          <w:bottom w:val="single" w:sz="8" w:space="6" w:color="143C46"/>
        </w:pBdr>
      </w:pPr>
      <w:r>
        <w:rPr>
          <w:rFonts w:ascii="Times New Roman" w:hAnsi="Times New Roman"/>
          <w:b/>
          <w:color w:val="000000"/>
          <w:sz w:val="30"/>
        </w:rPr>
        <w:t>Records, Reporting, and Audit</w:t>
      </w:r>
    </w:p>
    <w:p>
      <w:pPr>
        <w:pStyle w:val="Heading2"/>
      </w:pPr>
      <w:r>
        <w:rPr>
          <w:rFonts w:ascii="Times New Roman" w:hAnsi="Times New Roman"/>
          <w:b/>
          <w:color w:val="143C46"/>
          <w:sz w:val="23"/>
        </w:rPr>
        <w:t xml:space="preserve">§ 601.  </w:t>
      </w:r>
      <w:r>
        <w:rPr>
          <w:rFonts w:ascii="Times New Roman" w:hAnsi="Times New Roman"/>
          <w:b/>
          <w:color w:val="000000"/>
          <w:sz w:val="23"/>
        </w:rPr>
        <w:t>Records</w:t>
      </w:r>
    </w:p>
    <w:p>
      <w:pPr>
        <w:ind w:left="432" w:hanging="432"/>
        <w:jc w:val="both"/>
      </w:pPr>
      <w:r>
        <w:rPr>
          <w:rFonts w:ascii="Times New Roman" w:hAnsi="Times New Roman"/>
          <w:b/>
          <w:sz w:val="22"/>
        </w:rPr>
        <w:t xml:space="preserve">(a)  </w:t>
      </w:r>
      <w:r>
        <w:rPr>
          <w:rFonts w:ascii="Times New Roman" w:hAnsi="Times New Roman"/>
          <w:sz w:val="22"/>
        </w:rPr>
        <w:t>A covered operator shall retain, for not less than five years:</w:t>
      </w:r>
    </w:p>
    <w:p>
      <w:pPr>
        <w:ind w:left="864" w:hanging="432"/>
        <w:jc w:val="both"/>
      </w:pPr>
      <w:r>
        <w:rPr>
          <w:rFonts w:ascii="Times New Roman" w:hAnsi="Times New Roman"/>
          <w:b/>
          <w:sz w:val="22"/>
        </w:rPr>
        <w:t xml:space="preserve">(1)  </w:t>
      </w:r>
      <w:r>
        <w:rPr>
          <w:rFonts w:ascii="Times New Roman" w:hAnsi="Times New Roman"/>
          <w:sz w:val="22"/>
        </w:rPr>
        <w:t>participant account records, including verification records under § 403 and § 404;</w:t>
      </w:r>
    </w:p>
    <w:p>
      <w:pPr>
        <w:ind w:left="864" w:hanging="432"/>
        <w:jc w:val="both"/>
      </w:pPr>
      <w:r>
        <w:rPr>
          <w:rFonts w:ascii="Times New Roman" w:hAnsi="Times New Roman"/>
          <w:b/>
          <w:sz w:val="22"/>
        </w:rPr>
        <w:t xml:space="preserve">(2)  </w:t>
      </w:r>
      <w:r>
        <w:rPr>
          <w:rFonts w:ascii="Times New Roman" w:hAnsi="Times New Roman"/>
          <w:sz w:val="22"/>
        </w:rPr>
        <w:t>the complete order, execution, position, and settlement history of each participant;</w:t>
      </w:r>
    </w:p>
    <w:p>
      <w:pPr>
        <w:ind w:left="864" w:hanging="432"/>
        <w:jc w:val="both"/>
      </w:pPr>
      <w:r>
        <w:rPr>
          <w:rFonts w:ascii="Times New Roman" w:hAnsi="Times New Roman"/>
          <w:b/>
          <w:sz w:val="22"/>
        </w:rPr>
        <w:t xml:space="preserve">(3)  </w:t>
      </w:r>
      <w:r>
        <w:rPr>
          <w:rFonts w:ascii="Times New Roman" w:hAnsi="Times New Roman"/>
          <w:sz w:val="22"/>
        </w:rPr>
        <w:t>exclusion program records, including enrollment, effect on positions, marketing suppression, and reinstatement;</w:t>
      </w:r>
    </w:p>
    <w:p>
      <w:pPr>
        <w:ind w:left="864" w:hanging="432"/>
        <w:jc w:val="both"/>
      </w:pPr>
      <w:r>
        <w:rPr>
          <w:rFonts w:ascii="Times New Roman" w:hAnsi="Times New Roman"/>
          <w:b/>
          <w:sz w:val="22"/>
        </w:rPr>
        <w:t xml:space="preserve">(4)  </w:t>
      </w:r>
      <w:r>
        <w:rPr>
          <w:rFonts w:ascii="Times New Roman" w:hAnsi="Times New Roman"/>
          <w:sz w:val="22"/>
        </w:rPr>
        <w:t>limit records under § 302, including each limit set, each change, and each order or deposit rejected;</w:t>
      </w:r>
    </w:p>
    <w:p>
      <w:pPr>
        <w:ind w:left="864" w:hanging="432"/>
        <w:jc w:val="both"/>
      </w:pPr>
      <w:r>
        <w:rPr>
          <w:rFonts w:ascii="Times New Roman" w:hAnsi="Times New Roman"/>
          <w:b/>
          <w:sz w:val="22"/>
        </w:rPr>
        <w:t xml:space="preserve">(5)  </w:t>
      </w:r>
      <w:r>
        <w:rPr>
          <w:rFonts w:ascii="Times New Roman" w:hAnsi="Times New Roman"/>
          <w:sz w:val="22"/>
        </w:rPr>
        <w:t>documentation under § 402(c) and § 505(a) for each covered contract listed;</w:t>
      </w:r>
    </w:p>
    <w:p>
      <w:pPr>
        <w:ind w:left="864" w:hanging="432"/>
        <w:jc w:val="both"/>
      </w:pPr>
      <w:r>
        <w:rPr>
          <w:rFonts w:ascii="Times New Roman" w:hAnsi="Times New Roman"/>
          <w:b/>
          <w:sz w:val="22"/>
        </w:rPr>
        <w:t xml:space="preserve">(6)  </w:t>
      </w:r>
      <w:r>
        <w:rPr>
          <w:rFonts w:ascii="Times New Roman" w:hAnsi="Times New Roman"/>
          <w:sz w:val="22"/>
        </w:rPr>
        <w:t>settlement records, including resolution source consulted, value published, corrections, voidings, and disputes;</w:t>
      </w:r>
    </w:p>
    <w:p>
      <w:pPr>
        <w:ind w:left="864" w:hanging="432"/>
        <w:jc w:val="both"/>
      </w:pPr>
      <w:r>
        <w:rPr>
          <w:rFonts w:ascii="Times New Roman" w:hAnsi="Times New Roman"/>
          <w:b/>
          <w:sz w:val="22"/>
        </w:rPr>
        <w:t xml:space="preserve">(7)  </w:t>
      </w:r>
      <w:r>
        <w:rPr>
          <w:rFonts w:ascii="Times New Roman" w:hAnsi="Times New Roman"/>
          <w:sz w:val="22"/>
        </w:rPr>
        <w:t>complaint records under § 305;</w:t>
      </w:r>
    </w:p>
    <w:p>
      <w:pPr>
        <w:ind w:left="864" w:hanging="432"/>
        <w:jc w:val="both"/>
      </w:pPr>
      <w:r>
        <w:rPr>
          <w:rFonts w:ascii="Times New Roman" w:hAnsi="Times New Roman"/>
          <w:b/>
          <w:sz w:val="22"/>
        </w:rPr>
        <w:t xml:space="preserve">(8)  </w:t>
      </w:r>
      <w:r>
        <w:rPr>
          <w:rFonts w:ascii="Times New Roman" w:hAnsi="Times New Roman"/>
          <w:sz w:val="22"/>
        </w:rPr>
        <w:t>surveillance and integrity monitoring records under § 405; and</w:t>
      </w:r>
    </w:p>
    <w:p>
      <w:pPr>
        <w:ind w:left="864" w:hanging="432"/>
        <w:jc w:val="both"/>
      </w:pPr>
      <w:r>
        <w:rPr>
          <w:rFonts w:ascii="Times New Roman" w:hAnsi="Times New Roman"/>
          <w:b/>
          <w:sz w:val="22"/>
        </w:rPr>
        <w:t xml:space="preserve">(9)  </w:t>
      </w:r>
      <w:r>
        <w:rPr>
          <w:rFonts w:ascii="Times New Roman" w:hAnsi="Times New Roman"/>
          <w:sz w:val="22"/>
        </w:rPr>
        <w:t>problem gambling plan documentation and training records under § 304.</w:t>
      </w:r>
    </w:p>
    <w:p>
      <w:pPr>
        <w:ind w:left="432" w:hanging="432"/>
        <w:jc w:val="both"/>
      </w:pPr>
      <w:r>
        <w:rPr>
          <w:rFonts w:ascii="Times New Roman" w:hAnsi="Times New Roman"/>
          <w:b/>
          <w:sz w:val="22"/>
        </w:rPr>
        <w:t xml:space="preserve">(b)  </w:t>
      </w:r>
      <w:r>
        <w:rPr>
          <w:rFonts w:ascii="Times New Roman" w:hAnsi="Times New Roman"/>
          <w:sz w:val="22"/>
        </w:rPr>
        <w:t>Records shall be retained in a form permitting reconstruction of the covered operator's activity and shall be produced on request.</w:t>
      </w:r>
    </w:p>
    <w:p>
      <w:pPr>
        <w:pStyle w:val="Heading2"/>
      </w:pPr>
      <w:r>
        <w:rPr>
          <w:rFonts w:ascii="Times New Roman" w:hAnsi="Times New Roman"/>
          <w:b/>
          <w:color w:val="143C46"/>
          <w:sz w:val="23"/>
        </w:rPr>
        <w:t xml:space="preserve">§ 602.  </w:t>
      </w:r>
      <w:r>
        <w:rPr>
          <w:rFonts w:ascii="Times New Roman" w:hAnsi="Times New Roman"/>
          <w:b/>
          <w:color w:val="000000"/>
          <w:sz w:val="23"/>
        </w:rPr>
        <w:t>Periodic reporting</w:t>
      </w:r>
    </w:p>
    <w:p>
      <w:pPr>
        <w:ind w:left="432" w:hanging="432"/>
        <w:jc w:val="both"/>
      </w:pPr>
      <w:r>
        <w:rPr>
          <w:rFonts w:ascii="Times New Roman" w:hAnsi="Times New Roman"/>
          <w:b/>
          <w:sz w:val="22"/>
        </w:rPr>
        <w:t xml:space="preserve">(a)  </w:t>
      </w:r>
      <w:r>
        <w:rPr>
          <w:rFonts w:ascii="Times New Roman" w:hAnsi="Times New Roman"/>
          <w:sz w:val="22"/>
        </w:rPr>
        <w:t>A covered operator shall report not less than quarterly:</w:t>
      </w:r>
    </w:p>
    <w:p>
      <w:pPr>
        <w:ind w:left="864" w:hanging="432"/>
        <w:jc w:val="both"/>
      </w:pPr>
      <w:r>
        <w:rPr>
          <w:rFonts w:ascii="Times New Roman" w:hAnsi="Times New Roman"/>
          <w:b/>
          <w:sz w:val="22"/>
        </w:rPr>
        <w:t xml:space="preserve">(1)  </w:t>
      </w:r>
      <w:r>
        <w:rPr>
          <w:rFonts w:ascii="Times New Roman" w:hAnsi="Times New Roman"/>
          <w:sz w:val="22"/>
        </w:rPr>
        <w:t>the number of participants enrolled in an exclusion program, by term elected, and the number reinstated;</w:t>
      </w:r>
    </w:p>
    <w:p>
      <w:pPr>
        <w:ind w:left="864" w:hanging="432"/>
        <w:jc w:val="both"/>
      </w:pPr>
      <w:r>
        <w:rPr>
          <w:rFonts w:ascii="Times New Roman" w:hAnsi="Times New Roman"/>
          <w:b/>
          <w:sz w:val="22"/>
        </w:rPr>
        <w:t xml:space="preserve">(2)  </w:t>
      </w:r>
      <w:r>
        <w:rPr>
          <w:rFonts w:ascii="Times New Roman" w:hAnsi="Times New Roman"/>
          <w:sz w:val="22"/>
        </w:rPr>
        <w:t>the number of attempted registrations, deposits, and orders blocked by reason of exclusion;</w:t>
      </w:r>
    </w:p>
    <w:p>
      <w:pPr>
        <w:ind w:left="864" w:hanging="432"/>
        <w:jc w:val="both"/>
      </w:pPr>
      <w:r>
        <w:rPr>
          <w:rFonts w:ascii="Times New Roman" w:hAnsi="Times New Roman"/>
          <w:b/>
          <w:sz w:val="22"/>
        </w:rPr>
        <w:t xml:space="preserve">(3)  </w:t>
      </w:r>
      <w:r>
        <w:rPr>
          <w:rFonts w:ascii="Times New Roman" w:hAnsi="Times New Roman"/>
          <w:sz w:val="22"/>
        </w:rPr>
        <w:t>the number of participants with limits in effect under § 302, by limit type, and the number of orders and deposits rejected by limit;</w:t>
      </w:r>
    </w:p>
    <w:p>
      <w:pPr>
        <w:ind w:left="864" w:hanging="432"/>
        <w:jc w:val="both"/>
      </w:pPr>
      <w:r>
        <w:rPr>
          <w:rFonts w:ascii="Times New Roman" w:hAnsi="Times New Roman"/>
          <w:b/>
          <w:sz w:val="22"/>
        </w:rPr>
        <w:t xml:space="preserve">(4)  </w:t>
      </w:r>
      <w:r>
        <w:rPr>
          <w:rFonts w:ascii="Times New Roman" w:hAnsi="Times New Roman"/>
          <w:sz w:val="22"/>
        </w:rPr>
        <w:t>complaint volume and resolution times under § 305;</w:t>
      </w:r>
    </w:p>
    <w:p>
      <w:pPr>
        <w:ind w:left="864" w:hanging="432"/>
        <w:jc w:val="both"/>
      </w:pPr>
      <w:r>
        <w:rPr>
          <w:rFonts w:ascii="Times New Roman" w:hAnsi="Times New Roman"/>
          <w:b/>
          <w:sz w:val="22"/>
        </w:rPr>
        <w:t xml:space="preserve">(5)  </w:t>
      </w:r>
      <w:r>
        <w:rPr>
          <w:rFonts w:ascii="Times New Roman" w:hAnsi="Times New Roman"/>
          <w:sz w:val="22"/>
        </w:rPr>
        <w:t>settlement disputes under § 504(d); and</w:t>
      </w:r>
    </w:p>
    <w:p>
      <w:pPr>
        <w:ind w:left="864" w:hanging="432"/>
        <w:jc w:val="both"/>
      </w:pPr>
      <w:r>
        <w:rPr>
          <w:rFonts w:ascii="Times New Roman" w:hAnsi="Times New Roman"/>
          <w:b/>
          <w:sz w:val="22"/>
        </w:rPr>
        <w:t xml:space="preserve">(6)  </w:t>
      </w:r>
      <w:r>
        <w:rPr>
          <w:rFonts w:ascii="Times New Roman" w:hAnsi="Times New Roman"/>
          <w:sz w:val="22"/>
        </w:rPr>
        <w:t>adherence to the problem gambling plan under § 304(b).</w:t>
      </w:r>
    </w:p>
    <w:p>
      <w:pPr>
        <w:ind w:left="432" w:hanging="432"/>
        <w:jc w:val="both"/>
      </w:pPr>
      <w:r>
        <w:rPr>
          <w:rFonts w:ascii="Times New Roman" w:hAnsi="Times New Roman"/>
          <w:b/>
          <w:sz w:val="22"/>
        </w:rPr>
        <w:t xml:space="preserve">(b)  </w:t>
      </w:r>
      <w:r>
        <w:rPr>
          <w:rFonts w:ascii="Times New Roman" w:hAnsi="Times New Roman"/>
          <w:sz w:val="22"/>
        </w:rPr>
        <w:t>A covered operator shall report annually:</w:t>
      </w:r>
    </w:p>
    <w:p>
      <w:pPr>
        <w:ind w:left="864" w:hanging="432"/>
        <w:jc w:val="both"/>
      </w:pPr>
      <w:r>
        <w:rPr>
          <w:rFonts w:ascii="Times New Roman" w:hAnsi="Times New Roman"/>
          <w:b/>
          <w:sz w:val="22"/>
        </w:rPr>
        <w:t xml:space="preserve">(1)  </w:t>
      </w:r>
      <w:r>
        <w:rPr>
          <w:rFonts w:ascii="Times New Roman" w:hAnsi="Times New Roman"/>
          <w:sz w:val="22"/>
        </w:rPr>
        <w:t>the amount contributed under § 304(c) and the recipient;</w:t>
      </w:r>
    </w:p>
    <w:p>
      <w:pPr>
        <w:ind w:left="864" w:hanging="432"/>
        <w:jc w:val="both"/>
      </w:pPr>
      <w:r>
        <w:rPr>
          <w:rFonts w:ascii="Times New Roman" w:hAnsi="Times New Roman"/>
          <w:b/>
          <w:sz w:val="22"/>
        </w:rPr>
        <w:t xml:space="preserve">(2)  </w:t>
      </w:r>
      <w:r>
        <w:rPr>
          <w:rFonts w:ascii="Times New Roman" w:hAnsi="Times New Roman"/>
          <w:sz w:val="22"/>
        </w:rPr>
        <w:t>the results of independent testing under § 208;</w:t>
      </w:r>
    </w:p>
    <w:p>
      <w:pPr>
        <w:ind w:left="864" w:hanging="432"/>
        <w:jc w:val="both"/>
      </w:pPr>
      <w:r>
        <w:rPr>
          <w:rFonts w:ascii="Times New Roman" w:hAnsi="Times New Roman"/>
          <w:b/>
          <w:sz w:val="22"/>
        </w:rPr>
        <w:t xml:space="preserve">(3)  </w:t>
      </w:r>
      <w:r>
        <w:rPr>
          <w:rFonts w:ascii="Times New Roman" w:hAnsi="Times New Roman"/>
          <w:sz w:val="22"/>
        </w:rPr>
        <w:t>the results of the audits under § 603; and</w:t>
      </w:r>
    </w:p>
    <w:p>
      <w:pPr>
        <w:ind w:left="864" w:hanging="432"/>
        <w:jc w:val="both"/>
      </w:pPr>
      <w:r>
        <w:rPr>
          <w:rFonts w:ascii="Times New Roman" w:hAnsi="Times New Roman"/>
          <w:b/>
          <w:sz w:val="22"/>
        </w:rPr>
        <w:t xml:space="preserve">(4)  </w:t>
      </w:r>
      <w:r>
        <w:rPr>
          <w:rFonts w:ascii="Times New Roman" w:hAnsi="Times New Roman"/>
          <w:sz w:val="22"/>
        </w:rPr>
        <w:t>any information received concerning bankruptcy, criminal proceeding, or suicide of a participant, where reported to the covered operator and connected to trading on its platform.</w:t>
      </w:r>
    </w:p>
    <w:p>
      <w:pPr>
        <w:pStyle w:val="Heading2"/>
      </w:pPr>
      <w:r>
        <w:rPr>
          <w:rFonts w:ascii="Times New Roman" w:hAnsi="Times New Roman"/>
          <w:b/>
          <w:color w:val="143C46"/>
          <w:sz w:val="23"/>
        </w:rPr>
        <w:t xml:space="preserve">§ 603.  </w:t>
      </w:r>
      <w:r>
        <w:rPr>
          <w:rFonts w:ascii="Times New Roman" w:hAnsi="Times New Roman"/>
          <w:b/>
          <w:color w:val="000000"/>
          <w:sz w:val="23"/>
        </w:rPr>
        <w:t>Incident reporting</w:t>
      </w:r>
    </w:p>
    <w:p>
      <w:pPr>
        <w:jc w:val="both"/>
      </w:pPr>
      <w:r>
        <w:rPr>
          <w:rFonts w:ascii="Times New Roman" w:hAnsi="Times New Roman"/>
          <w:sz w:val="22"/>
        </w:rPr>
        <w:t>A covered operator shall report to any applicable regulatory authority, and to its assessor, within twenty-four hours of identification:</w:t>
      </w:r>
    </w:p>
    <w:p>
      <w:pPr>
        <w:ind w:left="432" w:hanging="432"/>
        <w:jc w:val="both"/>
      </w:pPr>
      <w:r>
        <w:rPr>
          <w:rFonts w:ascii="Times New Roman" w:hAnsi="Times New Roman"/>
          <w:b/>
          <w:sz w:val="22"/>
        </w:rPr>
        <w:t xml:space="preserve">(a)  </w:t>
      </w:r>
      <w:r>
        <w:rPr>
          <w:rFonts w:ascii="Times New Roman" w:hAnsi="Times New Roman"/>
          <w:sz w:val="22"/>
        </w:rPr>
        <w:t>a failure, bypass, or disablement of a control required by these Standards;</w:t>
      </w:r>
    </w:p>
    <w:p>
      <w:pPr>
        <w:ind w:left="432" w:hanging="432"/>
        <w:jc w:val="both"/>
      </w:pPr>
      <w:r>
        <w:rPr>
          <w:rFonts w:ascii="Times New Roman" w:hAnsi="Times New Roman"/>
          <w:b/>
          <w:sz w:val="22"/>
        </w:rPr>
        <w:t xml:space="preserve">(b)  </w:t>
      </w:r>
      <w:r>
        <w:rPr>
          <w:rFonts w:ascii="Times New Roman" w:hAnsi="Times New Roman"/>
          <w:sz w:val="22"/>
        </w:rPr>
        <w:t>a deficiency under § 206(d);</w:t>
      </w:r>
    </w:p>
    <w:p>
      <w:pPr>
        <w:ind w:left="432" w:hanging="432"/>
        <w:jc w:val="both"/>
      </w:pPr>
      <w:r>
        <w:rPr>
          <w:rFonts w:ascii="Times New Roman" w:hAnsi="Times New Roman"/>
          <w:b/>
          <w:sz w:val="22"/>
        </w:rPr>
        <w:t xml:space="preserve">(c)  </w:t>
      </w:r>
      <w:r>
        <w:rPr>
          <w:rFonts w:ascii="Times New Roman" w:hAnsi="Times New Roman"/>
          <w:sz w:val="22"/>
        </w:rPr>
        <w:t>a settlement correction under § 503(b) or a voiding under § 503(e);</w:t>
      </w:r>
    </w:p>
    <w:p>
      <w:pPr>
        <w:ind w:left="432" w:hanging="432"/>
        <w:jc w:val="both"/>
      </w:pPr>
      <w:r>
        <w:rPr>
          <w:rFonts w:ascii="Times New Roman" w:hAnsi="Times New Roman"/>
          <w:b/>
          <w:sz w:val="22"/>
        </w:rPr>
        <w:t xml:space="preserve">(d)  </w:t>
      </w:r>
      <w:r>
        <w:rPr>
          <w:rFonts w:ascii="Times New Roman" w:hAnsi="Times New Roman"/>
          <w:sz w:val="22"/>
        </w:rPr>
        <w:t>a breach of participant data, including exclusion program data; and</w:t>
      </w:r>
    </w:p>
    <w:p>
      <w:pPr>
        <w:ind w:left="432" w:hanging="432"/>
        <w:jc w:val="both"/>
      </w:pPr>
      <w:r>
        <w:rPr>
          <w:rFonts w:ascii="Times New Roman" w:hAnsi="Times New Roman"/>
          <w:b/>
          <w:sz w:val="22"/>
        </w:rPr>
        <w:t xml:space="preserve">(e)  </w:t>
      </w:r>
      <w:r>
        <w:rPr>
          <w:rFonts w:ascii="Times New Roman" w:hAnsi="Times New Roman"/>
          <w:sz w:val="22"/>
        </w:rPr>
        <w:t>conduct reportable under § 405(c).</w:t>
      </w:r>
    </w:p>
    <w:p>
      <w:pPr>
        <w:pStyle w:val="Heading2"/>
      </w:pPr>
      <w:r>
        <w:rPr>
          <w:rFonts w:ascii="Times New Roman" w:hAnsi="Times New Roman"/>
          <w:b/>
          <w:color w:val="143C46"/>
          <w:sz w:val="23"/>
        </w:rPr>
        <w:t xml:space="preserve">§ 604.  </w:t>
      </w:r>
      <w:r>
        <w:rPr>
          <w:rFonts w:ascii="Times New Roman" w:hAnsi="Times New Roman"/>
          <w:b/>
          <w:color w:val="000000"/>
          <w:sz w:val="23"/>
        </w:rPr>
        <w:t>Audit</w:t>
      </w:r>
    </w:p>
    <w:p>
      <w:pPr>
        <w:ind w:left="432" w:hanging="432"/>
        <w:jc w:val="both"/>
      </w:pPr>
      <w:r>
        <w:rPr>
          <w:rFonts w:ascii="Times New Roman" w:hAnsi="Times New Roman"/>
          <w:b/>
          <w:sz w:val="22"/>
        </w:rPr>
        <w:t xml:space="preserve">(a)  </w:t>
      </w:r>
      <w:r>
        <w:rPr>
          <w:rFonts w:ascii="Times New Roman" w:hAnsi="Times New Roman"/>
          <w:sz w:val="22"/>
        </w:rPr>
        <w:t>A covered operator shall maintain an internal audit function independent of the operations it reviews, which shall test compliance with each Part of these Standards not less than annually and report its findings to the covered operator's governing body.</w:t>
      </w:r>
    </w:p>
    <w:p>
      <w:pPr>
        <w:ind w:left="432" w:hanging="432"/>
        <w:jc w:val="both"/>
      </w:pPr>
      <w:r>
        <w:rPr>
          <w:rFonts w:ascii="Times New Roman" w:hAnsi="Times New Roman"/>
          <w:b/>
          <w:sz w:val="22"/>
        </w:rPr>
        <w:t xml:space="preserve">(b)  </w:t>
      </w:r>
      <w:r>
        <w:rPr>
          <w:rFonts w:ascii="Times New Roman" w:hAnsi="Times New Roman"/>
          <w:sz w:val="22"/>
        </w:rPr>
        <w:t>A covered operator shall obtain an annual audit by an independent public accountant of its compliance with § 206.</w:t>
      </w:r>
    </w:p>
    <w:p>
      <w:pPr>
        <w:ind w:left="432" w:hanging="432"/>
        <w:jc w:val="both"/>
      </w:pPr>
      <w:r>
        <w:rPr>
          <w:rFonts w:ascii="Times New Roman" w:hAnsi="Times New Roman"/>
          <w:b/>
          <w:sz w:val="22"/>
        </w:rPr>
        <w:t xml:space="preserve">(c)  </w:t>
      </w:r>
      <w:r>
        <w:rPr>
          <w:rFonts w:ascii="Times New Roman" w:hAnsi="Times New Roman"/>
          <w:sz w:val="22"/>
        </w:rPr>
        <w:t>A covered operator shall obtain an annual assessment by an assessor accredited under § 701 of its compliance with these Standards as a whole.</w:t>
      </w:r>
    </w:p>
    <w:p>
      <w:pPr>
        <w:ind w:left="432" w:hanging="432"/>
        <w:jc w:val="both"/>
      </w:pPr>
      <w:r>
        <w:rPr>
          <w:rFonts w:ascii="Times New Roman" w:hAnsi="Times New Roman"/>
          <w:b/>
          <w:sz w:val="22"/>
        </w:rPr>
        <w:t xml:space="preserve">(d)  </w:t>
      </w:r>
      <w:r>
        <w:rPr>
          <w:rFonts w:ascii="Times New Roman" w:hAnsi="Times New Roman"/>
          <w:sz w:val="22"/>
        </w:rPr>
        <w:t>A covered operator shall document the corrective action taken in response to each finding under this section and the date of completion.</w:t>
      </w:r>
    </w:p>
    <w:p>
      <w:pPr>
        <w:spacing w:before="240"/>
        <w:pBdr>
          <w:top w:val="single" w:sz="4" w:space="6" w:color="8A8A8A"/>
        </w:pBdr>
      </w:pPr>
      <w:r>
        <w:rPr>
          <w:rFonts w:ascii="Times New Roman" w:hAnsi="Times New Roman"/>
          <w:i/>
          <w:color w:val="555555"/>
          <w:sz w:val="17"/>
        </w:rPr>
        <w:t>Basis: 25 C.F.R. pt. 543; 25 C.F.R. pt. 542; Ohio Admin. Code 3775-1-05, 3775-16-17, 3775-16-18, 3775-16-19, 3775-16-20, 3772-12-06(B); N.J.A.C. 13:69D; 17 C.F.R. pt. 38; Nev. Gaming Comm'n Regs.</w:t>
      </w:r>
    </w:p>
    <w:p>
      <w:r>
        <w:br w:type="page"/>
      </w:r>
    </w:p>
    <w:p>
      <w:pPr>
        <w:spacing w:after="40"/>
      </w:pPr>
      <w:r>
        <w:rPr>
          <w:rFonts w:ascii="Calibri" w:hAnsi="Calibri"/>
          <w:b/>
          <w:color w:val="143C46"/>
          <w:sz w:val="18"/>
        </w:rPr>
        <w:t>PART 700</w:t>
      </w:r>
    </w:p>
    <w:p>
      <w:pPr>
        <w:pStyle w:val="Heading1"/>
        <w:spacing w:before="0"/>
        <w:pBdr>
          <w:bottom w:val="single" w:sz="8" w:space="6" w:color="143C46"/>
        </w:pBdr>
      </w:pPr>
      <w:r>
        <w:rPr>
          <w:rFonts w:ascii="Times New Roman" w:hAnsi="Times New Roman"/>
          <w:b/>
          <w:color w:val="000000"/>
          <w:sz w:val="30"/>
        </w:rPr>
        <w:t>Certification and Enforcement</w:t>
      </w:r>
    </w:p>
    <w:p>
      <w:pPr>
        <w:pStyle w:val="Heading2"/>
      </w:pPr>
      <w:r>
        <w:rPr>
          <w:rFonts w:ascii="Times New Roman" w:hAnsi="Times New Roman"/>
          <w:b/>
          <w:color w:val="143C46"/>
          <w:sz w:val="23"/>
        </w:rPr>
        <w:t xml:space="preserve">§ 701.  </w:t>
      </w:r>
      <w:r>
        <w:rPr>
          <w:rFonts w:ascii="Times New Roman" w:hAnsi="Times New Roman"/>
          <w:b/>
          <w:color w:val="000000"/>
          <w:sz w:val="23"/>
        </w:rPr>
        <w:t>Assessors</w:t>
      </w:r>
    </w:p>
    <w:p>
      <w:pPr>
        <w:ind w:left="432" w:hanging="432"/>
        <w:jc w:val="both"/>
      </w:pPr>
      <w:r>
        <w:rPr>
          <w:rFonts w:ascii="Times New Roman" w:hAnsi="Times New Roman"/>
          <w:b/>
          <w:sz w:val="22"/>
        </w:rPr>
        <w:t xml:space="preserve">(a)  </w:t>
      </w:r>
      <w:r>
        <w:rPr>
          <w:rFonts w:ascii="Times New Roman" w:hAnsi="Times New Roman"/>
          <w:sz w:val="22"/>
        </w:rPr>
        <w:t>An assessment of compliance with these Standards shall be conducted by an assessor that:</w:t>
      </w:r>
    </w:p>
    <w:p>
      <w:pPr>
        <w:ind w:left="864" w:hanging="432"/>
        <w:jc w:val="both"/>
      </w:pPr>
      <w:r>
        <w:rPr>
          <w:rFonts w:ascii="Times New Roman" w:hAnsi="Times New Roman"/>
          <w:b/>
          <w:sz w:val="22"/>
        </w:rPr>
        <w:t xml:space="preserve">(1)  </w:t>
      </w:r>
      <w:r>
        <w:rPr>
          <w:rFonts w:ascii="Times New Roman" w:hAnsi="Times New Roman"/>
          <w:sz w:val="22"/>
        </w:rPr>
        <w:t>is independent of the covered operator and its affiliates;</w:t>
      </w:r>
    </w:p>
    <w:p>
      <w:pPr>
        <w:ind w:left="864" w:hanging="432"/>
        <w:jc w:val="both"/>
      </w:pPr>
      <w:r>
        <w:rPr>
          <w:rFonts w:ascii="Times New Roman" w:hAnsi="Times New Roman"/>
          <w:b/>
          <w:sz w:val="22"/>
        </w:rPr>
        <w:t xml:space="preserve">(2)  </w:t>
      </w:r>
      <w:r>
        <w:rPr>
          <w:rFonts w:ascii="Times New Roman" w:hAnsi="Times New Roman"/>
          <w:sz w:val="22"/>
        </w:rPr>
        <w:t>has no financial interest in the covered operator's trading volume or revenue;</w:t>
      </w:r>
    </w:p>
    <w:p>
      <w:pPr>
        <w:ind w:left="864" w:hanging="432"/>
        <w:jc w:val="both"/>
      </w:pPr>
      <w:r>
        <w:rPr>
          <w:rFonts w:ascii="Times New Roman" w:hAnsi="Times New Roman"/>
          <w:b/>
          <w:sz w:val="22"/>
        </w:rPr>
        <w:t xml:space="preserve">(3)  </w:t>
      </w:r>
      <w:r>
        <w:rPr>
          <w:rFonts w:ascii="Times New Roman" w:hAnsi="Times New Roman"/>
          <w:sz w:val="22"/>
        </w:rPr>
        <w:t>did not design or implement the systems or procedures under assessment; and</w:t>
      </w:r>
    </w:p>
    <w:p>
      <w:pPr>
        <w:ind w:left="864" w:hanging="432"/>
        <w:jc w:val="both"/>
      </w:pPr>
      <w:r>
        <w:rPr>
          <w:rFonts w:ascii="Times New Roman" w:hAnsi="Times New Roman"/>
          <w:b/>
          <w:sz w:val="22"/>
        </w:rPr>
        <w:t xml:space="preserve">(4)  </w:t>
      </w:r>
      <w:r>
        <w:rPr>
          <w:rFonts w:ascii="Times New Roman" w:hAnsi="Times New Roman"/>
          <w:sz w:val="22"/>
        </w:rPr>
        <w:t>maintains documented competence in gaming regulatory compliance, derivatives market regulation, and information systems audit.</w:t>
      </w:r>
    </w:p>
    <w:p>
      <w:pPr>
        <w:ind w:left="432" w:hanging="432"/>
        <w:jc w:val="both"/>
      </w:pPr>
      <w:r>
        <w:rPr>
          <w:rFonts w:ascii="Times New Roman" w:hAnsi="Times New Roman"/>
          <w:b/>
          <w:sz w:val="22"/>
        </w:rPr>
        <w:t xml:space="preserve">(b)  </w:t>
      </w:r>
      <w:r>
        <w:rPr>
          <w:rFonts w:ascii="Times New Roman" w:hAnsi="Times New Roman"/>
          <w:sz w:val="22"/>
        </w:rPr>
        <w:t>An assessor shall not provide consulting services to a covered operator on the subject matter of an assessment during the assessment period or the twelve months preceding it.</w:t>
      </w:r>
    </w:p>
    <w:p>
      <w:pPr>
        <w:pStyle w:val="Heading2"/>
      </w:pPr>
      <w:r>
        <w:rPr>
          <w:rFonts w:ascii="Times New Roman" w:hAnsi="Times New Roman"/>
          <w:b/>
          <w:color w:val="143C46"/>
          <w:sz w:val="23"/>
        </w:rPr>
        <w:t xml:space="preserve">§ 702.  </w:t>
      </w:r>
      <w:r>
        <w:rPr>
          <w:rFonts w:ascii="Times New Roman" w:hAnsi="Times New Roman"/>
          <w:b/>
          <w:color w:val="000000"/>
          <w:sz w:val="23"/>
        </w:rPr>
        <w:t>Assessment</w:t>
      </w:r>
    </w:p>
    <w:p>
      <w:pPr>
        <w:ind w:left="432" w:hanging="432"/>
        <w:jc w:val="both"/>
      </w:pPr>
      <w:r>
        <w:rPr>
          <w:rFonts w:ascii="Times New Roman" w:hAnsi="Times New Roman"/>
          <w:b/>
          <w:sz w:val="22"/>
        </w:rPr>
        <w:t xml:space="preserve">(a)  </w:t>
      </w:r>
      <w:r>
        <w:rPr>
          <w:rFonts w:ascii="Times New Roman" w:hAnsi="Times New Roman"/>
          <w:sz w:val="22"/>
        </w:rPr>
        <w:t>An assessment shall test each requirement of Parts 200 through 600 and shall state, for each, whether the covered operator is compliant, partially compliant, or non-compliant.</w:t>
      </w:r>
    </w:p>
    <w:p>
      <w:pPr>
        <w:ind w:left="432" w:hanging="432"/>
        <w:jc w:val="both"/>
      </w:pPr>
      <w:r>
        <w:rPr>
          <w:rFonts w:ascii="Times New Roman" w:hAnsi="Times New Roman"/>
          <w:b/>
          <w:sz w:val="22"/>
        </w:rPr>
        <w:t xml:space="preserve">(b)  </w:t>
      </w:r>
      <w:r>
        <w:rPr>
          <w:rFonts w:ascii="Times New Roman" w:hAnsi="Times New Roman"/>
          <w:sz w:val="22"/>
        </w:rPr>
        <w:t>An assessment shall be based on examination of evidence, including transaction records, system testing, and interviews, and not solely on the covered operator's representations.</w:t>
      </w:r>
    </w:p>
    <w:p>
      <w:pPr>
        <w:ind w:left="432" w:hanging="432"/>
        <w:jc w:val="both"/>
      </w:pPr>
      <w:r>
        <w:rPr>
          <w:rFonts w:ascii="Times New Roman" w:hAnsi="Times New Roman"/>
          <w:b/>
          <w:sz w:val="22"/>
        </w:rPr>
        <w:t xml:space="preserve">(c)  </w:t>
      </w:r>
      <w:r>
        <w:rPr>
          <w:rFonts w:ascii="Times New Roman" w:hAnsi="Times New Roman"/>
          <w:sz w:val="22"/>
        </w:rPr>
        <w:t>An assessment report shall identify each finding, the requirement to which it relates, and the remediation required.</w:t>
      </w:r>
    </w:p>
    <w:p>
      <w:pPr>
        <w:pStyle w:val="Heading2"/>
      </w:pPr>
      <w:r>
        <w:rPr>
          <w:rFonts w:ascii="Times New Roman" w:hAnsi="Times New Roman"/>
          <w:b/>
          <w:color w:val="143C46"/>
          <w:sz w:val="23"/>
        </w:rPr>
        <w:t xml:space="preserve">§ 703.  </w:t>
      </w:r>
      <w:r>
        <w:rPr>
          <w:rFonts w:ascii="Times New Roman" w:hAnsi="Times New Roman"/>
          <w:b/>
          <w:color w:val="000000"/>
          <w:sz w:val="23"/>
        </w:rPr>
        <w:t>Certification</w:t>
      </w:r>
    </w:p>
    <w:p>
      <w:pPr>
        <w:ind w:left="432" w:hanging="432"/>
        <w:jc w:val="both"/>
      </w:pPr>
      <w:r>
        <w:rPr>
          <w:rFonts w:ascii="Times New Roman" w:hAnsi="Times New Roman"/>
          <w:b/>
          <w:sz w:val="22"/>
        </w:rPr>
        <w:t xml:space="preserve">(a)  </w:t>
      </w:r>
      <w:r>
        <w:rPr>
          <w:rFonts w:ascii="Times New Roman" w:hAnsi="Times New Roman"/>
          <w:sz w:val="22"/>
        </w:rPr>
        <w:t>A covered operator is eligible for certification under these Standards where an assessment records no non-compliant finding and each partially compliant finding is subject to an accepted remediation plan.</w:t>
      </w:r>
    </w:p>
    <w:p>
      <w:pPr>
        <w:ind w:left="432" w:hanging="432"/>
        <w:jc w:val="both"/>
      </w:pPr>
      <w:r>
        <w:rPr>
          <w:rFonts w:ascii="Times New Roman" w:hAnsi="Times New Roman"/>
          <w:b/>
          <w:sz w:val="22"/>
        </w:rPr>
        <w:t xml:space="preserve">(b)  </w:t>
      </w:r>
      <w:r>
        <w:rPr>
          <w:rFonts w:ascii="Times New Roman" w:hAnsi="Times New Roman"/>
          <w:sz w:val="22"/>
        </w:rPr>
        <w:t>Certification is valid for one year and requires annual reassessment.</w:t>
      </w:r>
    </w:p>
    <w:p>
      <w:pPr>
        <w:ind w:left="432" w:hanging="432"/>
        <w:jc w:val="both"/>
      </w:pPr>
      <w:r>
        <w:rPr>
          <w:rFonts w:ascii="Times New Roman" w:hAnsi="Times New Roman"/>
          <w:b/>
          <w:sz w:val="22"/>
        </w:rPr>
        <w:t xml:space="preserve">(c)  </w:t>
      </w:r>
      <w:r>
        <w:rPr>
          <w:rFonts w:ascii="Times New Roman" w:hAnsi="Times New Roman"/>
          <w:sz w:val="22"/>
        </w:rPr>
        <w:t>Certification shall be withdrawn where a covered operator fails to complete accepted remediation, where an incident under § 603 demonstrates a systemic control failure, or where the covered operator makes a material misrepresentation to its assessor.</w:t>
      </w:r>
    </w:p>
    <w:p>
      <w:pPr>
        <w:ind w:left="432" w:hanging="432"/>
        <w:jc w:val="both"/>
      </w:pPr>
      <w:r>
        <w:rPr>
          <w:rFonts w:ascii="Times New Roman" w:hAnsi="Times New Roman"/>
          <w:b/>
          <w:sz w:val="22"/>
        </w:rPr>
        <w:t xml:space="preserve">(d)  </w:t>
      </w:r>
      <w:r>
        <w:rPr>
          <w:rFonts w:ascii="Times New Roman" w:hAnsi="Times New Roman"/>
          <w:sz w:val="22"/>
        </w:rPr>
        <w:t>A covered operator shall not represent that it is certified under these Standards except while a valid certification is in effect, and shall not represent that certification constitutes approval by any regulatory authority.</w:t>
      </w:r>
    </w:p>
    <w:p>
      <w:pPr>
        <w:pStyle w:val="Heading2"/>
      </w:pPr>
      <w:r>
        <w:rPr>
          <w:rFonts w:ascii="Times New Roman" w:hAnsi="Times New Roman"/>
          <w:b/>
          <w:color w:val="143C46"/>
          <w:sz w:val="23"/>
        </w:rPr>
        <w:t xml:space="preserve">§ 704.  </w:t>
      </w:r>
      <w:r>
        <w:rPr>
          <w:rFonts w:ascii="Times New Roman" w:hAnsi="Times New Roman"/>
          <w:b/>
          <w:color w:val="000000"/>
          <w:sz w:val="23"/>
        </w:rPr>
        <w:t>Enforcement by an adopting authority</w:t>
      </w:r>
    </w:p>
    <w:p>
      <w:pPr>
        <w:jc w:val="both"/>
      </w:pPr>
      <w:r>
        <w:rPr>
          <w:rFonts w:ascii="Times New Roman" w:hAnsi="Times New Roman"/>
          <w:sz w:val="22"/>
        </w:rPr>
        <w:t>Where a regulatory authority adopts these Standards, in whole or in part, the following are recommended:</w:t>
      </w:r>
    </w:p>
    <w:p>
      <w:pPr>
        <w:ind w:left="432" w:hanging="432"/>
        <w:jc w:val="both"/>
      </w:pPr>
      <w:r>
        <w:rPr>
          <w:rFonts w:ascii="Times New Roman" w:hAnsi="Times New Roman"/>
          <w:b/>
          <w:sz w:val="22"/>
        </w:rPr>
        <w:t xml:space="preserve">(a)  </w:t>
      </w:r>
      <w:r>
        <w:rPr>
          <w:rFonts w:ascii="Times New Roman" w:hAnsi="Times New Roman"/>
          <w:sz w:val="22"/>
        </w:rPr>
        <w:t>graduated sanctions, including corrective action plans, civil monetary penalties, suspension of the authority to list specified covered contracts, and revocation;</w:t>
      </w:r>
    </w:p>
    <w:p>
      <w:pPr>
        <w:ind w:left="432" w:hanging="432"/>
        <w:jc w:val="both"/>
      </w:pPr>
      <w:r>
        <w:rPr>
          <w:rFonts w:ascii="Times New Roman" w:hAnsi="Times New Roman"/>
          <w:b/>
          <w:sz w:val="22"/>
        </w:rPr>
        <w:t xml:space="preserve">(b)  </w:t>
      </w:r>
      <w:r>
        <w:rPr>
          <w:rFonts w:ascii="Times New Roman" w:hAnsi="Times New Roman"/>
          <w:sz w:val="22"/>
        </w:rPr>
        <w:t>penalties calculated with reference to the revenue derived from the non-compliant conduct, so that a penalty is not treatable as a cost of doing business;</w:t>
      </w:r>
    </w:p>
    <w:p>
      <w:pPr>
        <w:ind w:left="432" w:hanging="432"/>
        <w:jc w:val="both"/>
      </w:pPr>
      <w:r>
        <w:rPr>
          <w:rFonts w:ascii="Times New Roman" w:hAnsi="Times New Roman"/>
          <w:b/>
          <w:sz w:val="22"/>
        </w:rPr>
        <w:t xml:space="preserve">(c)  </w:t>
      </w:r>
      <w:r>
        <w:rPr>
          <w:rFonts w:ascii="Times New Roman" w:hAnsi="Times New Roman"/>
          <w:sz w:val="22"/>
        </w:rPr>
        <w:t>individual accountability for the person designated under § 204(a) where a failure resulted from that person's knowing act or omission;</w:t>
      </w:r>
    </w:p>
    <w:p>
      <w:pPr>
        <w:ind w:left="432" w:hanging="432"/>
        <w:jc w:val="both"/>
      </w:pPr>
      <w:r>
        <w:rPr>
          <w:rFonts w:ascii="Times New Roman" w:hAnsi="Times New Roman"/>
          <w:b/>
          <w:sz w:val="22"/>
        </w:rPr>
        <w:t xml:space="preserve">(d)  </w:t>
      </w:r>
      <w:r>
        <w:rPr>
          <w:rFonts w:ascii="Times New Roman" w:hAnsi="Times New Roman"/>
          <w:sz w:val="22"/>
        </w:rPr>
        <w:t>restitution to affected participants as a component of resolution; and</w:t>
      </w:r>
    </w:p>
    <w:p>
      <w:pPr>
        <w:ind w:left="432" w:hanging="432"/>
        <w:jc w:val="both"/>
      </w:pPr>
      <w:r>
        <w:rPr>
          <w:rFonts w:ascii="Times New Roman" w:hAnsi="Times New Roman"/>
          <w:b/>
          <w:sz w:val="22"/>
        </w:rPr>
        <w:t xml:space="preserve">(e)  </w:t>
      </w:r>
      <w:r>
        <w:rPr>
          <w:rFonts w:ascii="Times New Roman" w:hAnsi="Times New Roman"/>
          <w:sz w:val="22"/>
        </w:rPr>
        <w:t>publication of enforcement outcomes.</w:t>
      </w:r>
    </w:p>
    <w:p>
      <w:pPr>
        <w:spacing w:before="240"/>
        <w:pBdr>
          <w:top w:val="single" w:sz="4" w:space="6" w:color="8A8A8A"/>
        </w:pBdr>
      </w:pPr>
      <w:r>
        <w:rPr>
          <w:rFonts w:ascii="Times New Roman" w:hAnsi="Times New Roman"/>
          <w:i/>
          <w:color w:val="555555"/>
          <w:sz w:val="17"/>
        </w:rPr>
        <w:t>Basis: 25 C.F.R. pt. 543; Ohio Admin. Code 3775-1-08, 3775-14-01 through 3775-14-04, 3775-15-01; 17 C.F.R. pt. 38; S. 4060, 119th Cong. § 10 (2026).</w:t>
      </w:r>
    </w:p>
    <w:p>
      <w:r>
        <w:br w:type="page"/>
      </w:r>
    </w:p>
    <w:p>
      <w:pPr>
        <w:spacing w:after="40"/>
      </w:pPr>
      <w:r>
        <w:rPr>
          <w:rFonts w:ascii="Calibri" w:hAnsi="Calibri"/>
          <w:b/>
          <w:color w:val="143C46"/>
          <w:sz w:val="18"/>
        </w:rPr>
        <w:t>APPENDIX A</w:t>
      </w:r>
    </w:p>
    <w:p>
      <w:pPr>
        <w:pStyle w:val="Heading1"/>
        <w:spacing w:before="0"/>
        <w:pBdr>
          <w:bottom w:val="single" w:sz="8" w:space="6" w:color="143C46"/>
        </w:pBdr>
      </w:pPr>
      <w:r>
        <w:rPr>
          <w:rFonts w:ascii="Times New Roman" w:hAnsi="Times New Roman"/>
          <w:b/>
          <w:color w:val="000000"/>
          <w:sz w:val="30"/>
        </w:rPr>
        <w:t>Matters on Which Comment Is Invited</w:t>
      </w:r>
    </w:p>
    <w:p>
      <w:pPr>
        <w:spacing w:after="120"/>
        <w:ind w:left="504" w:hanging="504"/>
      </w:pPr>
      <w:r>
        <w:rPr>
          <w:rFonts w:ascii="Times New Roman" w:hAnsi="Times New Roman"/>
          <w:b/>
          <w:sz w:val="22"/>
        </w:rPr>
        <w:t xml:space="preserve">1.   </w:t>
      </w:r>
      <w:r>
        <w:rPr>
          <w:rFonts w:ascii="Times New Roman" w:hAnsi="Times New Roman"/>
          <w:b/>
          <w:sz w:val="22"/>
        </w:rPr>
        <w:t>Section 301(d), open positions on exclusion.</w:t>
      </w:r>
      <w:r>
        <w:rPr>
          <w:rFonts w:ascii="Times New Roman" w:hAnsi="Times New Roman"/>
          <w:sz w:val="22"/>
        </w:rPr>
        <w:t xml:space="preserve"> Whether permitting risk-reducing orders is the correct treatment, or whether a covered operator should be required to offer a one-time liquidation at a reference price.</w:t>
      </w:r>
    </w:p>
    <w:p>
      <w:pPr>
        <w:spacing w:after="120"/>
        <w:ind w:left="504" w:hanging="504"/>
      </w:pPr>
      <w:r>
        <w:rPr>
          <w:rFonts w:ascii="Times New Roman" w:hAnsi="Times New Roman"/>
          <w:b/>
          <w:sz w:val="22"/>
        </w:rPr>
        <w:t xml:space="preserve">2.   </w:t>
      </w:r>
      <w:r>
        <w:rPr>
          <w:rFonts w:ascii="Times New Roman" w:hAnsi="Times New Roman"/>
          <w:b/>
          <w:sz w:val="22"/>
        </w:rPr>
        <w:t>Section 304(c), problem gambling funding.</w:t>
      </w:r>
      <w:r>
        <w:rPr>
          <w:rFonts w:ascii="Times New Roman" w:hAnsi="Times New Roman"/>
          <w:sz w:val="22"/>
        </w:rPr>
        <w:t xml:space="preserve"> Whether these Standards should specify a contribution rate, and if so on what base, given that no federal mechanism exists.</w:t>
      </w:r>
    </w:p>
    <w:p>
      <w:pPr>
        <w:spacing w:after="120"/>
        <w:ind w:left="504" w:hanging="504"/>
      </w:pPr>
      <w:r>
        <w:rPr>
          <w:rFonts w:ascii="Times New Roman" w:hAnsi="Times New Roman"/>
          <w:b/>
          <w:sz w:val="22"/>
        </w:rPr>
        <w:t xml:space="preserve">3.   </w:t>
      </w:r>
      <w:r>
        <w:rPr>
          <w:rFonts w:ascii="Times New Roman" w:hAnsi="Times New Roman"/>
          <w:b/>
          <w:sz w:val="22"/>
        </w:rPr>
        <w:t>Section 402(d), refusal to list.</w:t>
      </w:r>
      <w:r>
        <w:rPr>
          <w:rFonts w:ascii="Times New Roman" w:hAnsi="Times New Roman"/>
          <w:sz w:val="22"/>
        </w:rPr>
        <w:t xml:space="preserve"> Whether a prohibition on listing contracts for which influencing persons cannot be identified is workable across the range of events these markets cover.</w:t>
      </w:r>
    </w:p>
    <w:p>
      <w:pPr>
        <w:spacing w:after="120"/>
        <w:ind w:left="504" w:hanging="504"/>
      </w:pPr>
      <w:r>
        <w:rPr>
          <w:rFonts w:ascii="Times New Roman" w:hAnsi="Times New Roman"/>
          <w:b/>
          <w:sz w:val="22"/>
        </w:rPr>
        <w:t xml:space="preserve">4.   </w:t>
      </w:r>
      <w:r>
        <w:rPr>
          <w:rFonts w:ascii="Times New Roman" w:hAnsi="Times New Roman"/>
          <w:b/>
          <w:sz w:val="22"/>
        </w:rPr>
        <w:t>Section 502(c), operator as resolution source.</w:t>
      </w:r>
      <w:r>
        <w:rPr>
          <w:rFonts w:ascii="Times New Roman" w:hAnsi="Times New Roman"/>
          <w:sz w:val="22"/>
        </w:rPr>
        <w:t xml:space="preserve"> Whether operator determination should be permitted at all, and if so whether the procedural conditions stated are sufficient.</w:t>
      </w:r>
    </w:p>
    <w:p>
      <w:pPr>
        <w:spacing w:after="120"/>
        <w:ind w:left="504" w:hanging="504"/>
      </w:pPr>
      <w:r>
        <w:rPr>
          <w:rFonts w:ascii="Times New Roman" w:hAnsi="Times New Roman"/>
          <w:b/>
          <w:sz w:val="22"/>
        </w:rPr>
        <w:t xml:space="preserve">5.   </w:t>
      </w:r>
      <w:r>
        <w:rPr>
          <w:rFonts w:ascii="Times New Roman" w:hAnsi="Times New Roman"/>
          <w:b/>
          <w:sz w:val="22"/>
        </w:rPr>
        <w:t>Section 503(d), early settlement.</w:t>
      </w:r>
      <w:r>
        <w:rPr>
          <w:rFonts w:ascii="Times New Roman" w:hAnsi="Times New Roman"/>
          <w:sz w:val="22"/>
        </w:rPr>
        <w:t xml:space="preserve"> Whether the irreversibility standard is administrable.</w:t>
      </w:r>
    </w:p>
    <w:p>
      <w:pPr>
        <w:spacing w:after="120"/>
        <w:ind w:left="504" w:hanging="504"/>
      </w:pPr>
      <w:r>
        <w:rPr>
          <w:rFonts w:ascii="Times New Roman" w:hAnsi="Times New Roman"/>
          <w:b/>
          <w:sz w:val="22"/>
        </w:rPr>
        <w:t xml:space="preserve">6.   </w:t>
      </w:r>
      <w:r>
        <w:rPr>
          <w:rFonts w:ascii="Times New Roman" w:hAnsi="Times New Roman"/>
          <w:b/>
          <w:sz w:val="22"/>
        </w:rPr>
        <w:t>Minimum age.</w:t>
      </w:r>
      <w:r>
        <w:rPr>
          <w:rFonts w:ascii="Times New Roman" w:hAnsi="Times New Roman"/>
          <w:sz w:val="22"/>
        </w:rPr>
        <w:t xml:space="preserve"> Whether twenty-one is correct where an operator is regulated as a derivatives market rather than as a gaming operator.</w:t>
      </w:r>
    </w:p>
    <w:p>
      <w:r>
        <w:br w:type="page"/>
      </w:r>
    </w:p>
    <w:p>
      <w:pPr>
        <w:spacing w:after="40"/>
      </w:pPr>
      <w:r>
        <w:rPr>
          <w:rFonts w:ascii="Calibri" w:hAnsi="Calibri"/>
          <w:b/>
          <w:color w:val="143C46"/>
          <w:sz w:val="18"/>
        </w:rPr>
        <w:t>APPENDIX B</w:t>
      </w:r>
    </w:p>
    <w:p>
      <w:pPr>
        <w:pStyle w:val="Heading1"/>
        <w:spacing w:before="0"/>
        <w:pBdr>
          <w:bottom w:val="single" w:sz="8" w:space="6" w:color="143C46"/>
        </w:pBdr>
      </w:pPr>
      <w:r>
        <w:rPr>
          <w:rFonts w:ascii="Times New Roman" w:hAnsi="Times New Roman"/>
          <w:b/>
          <w:color w:val="000000"/>
          <w:sz w:val="30"/>
        </w:rPr>
        <w:t>Documented Gaps in Existing Regulation</w:t>
      </w:r>
    </w:p>
    <w:p>
      <w:pPr>
        <w:jc w:val="both"/>
      </w:pPr>
      <w:r>
        <w:rPr>
          <w:rFonts w:ascii="Times New Roman" w:hAnsi="Times New Roman"/>
          <w:sz w:val="22"/>
        </w:rPr>
        <w:t xml:space="preserve">The following table records what the surveyed regimes do and do not require. Counts of regulatory-term occurrences supporting it are in </w:t>
      </w:r>
      <w:r>
        <w:rPr>
          <w:rFonts w:ascii="Consolas" w:hAnsi="Consolas"/>
          <w:sz w:val="22"/>
        </w:rPr>
        <w:t>research/analysis/01-gap-analysis.md</w:t>
      </w:r>
      <w:r>
        <w:rPr>
          <w:rFonts w:ascii="Times New Roman" w:hAnsi="Times New Roman"/>
          <w:sz w:val="22"/>
        </w:rPr>
        <w:t>.</w:t>
      </w:r>
    </w:p>
    <w:tbl>
      <w:tblPr>
        <w:tblStyle w:val="TableGrid"/>
        <w:tblW w:type="auto" w:w="0"/>
        <w:jc w:val="center"/>
        <w:tblLayout w:type="autofit"/>
        <w:tblLook w:firstColumn="1" w:firstRow="1" w:lastColumn="0" w:lastRow="0" w:noHBand="0" w:noVBand="1" w:val="04A0"/>
      </w:tblPr>
      <w:tblGrid>
        <w:gridCol w:w="1786"/>
        <w:gridCol w:w="1786"/>
        <w:gridCol w:w="1786"/>
        <w:gridCol w:w="1786"/>
        <w:gridCol w:w="1786"/>
      </w:tblGrid>
      <w:tr>
        <w:tc>
          <w:tcPr>
            <w:tcW w:type="dxa" w:w="1786"/>
            <w:shd w:val="clear" w:color="auto" w:fill="E8ECEE"/>
          </w:tcPr>
          <w:p>
            <w:pPr>
              <w:spacing w:after="40" w:before="40"/>
            </w:pPr>
            <w:r/>
            <w:r>
              <w:rPr>
                <w:rFonts w:ascii="Calibri" w:hAnsi="Calibri"/>
                <w:b/>
                <w:sz w:val="16"/>
              </w:rPr>
              <w:t>Requirement</w:t>
            </w:r>
          </w:p>
        </w:tc>
        <w:tc>
          <w:tcPr>
            <w:tcW w:type="dxa" w:w="1786"/>
            <w:shd w:val="clear" w:color="auto" w:fill="E8ECEE"/>
          </w:tcPr>
          <w:p>
            <w:pPr>
              <w:spacing w:after="40" w:before="40"/>
            </w:pPr>
            <w:r/>
            <w:r>
              <w:rPr>
                <w:rFonts w:ascii="Calibri" w:hAnsi="Calibri"/>
                <w:b/>
                <w:sz w:val="16"/>
              </w:rPr>
              <w:t>CEA and CFTC rules</w:t>
            </w:r>
          </w:p>
        </w:tc>
        <w:tc>
          <w:tcPr>
            <w:tcW w:type="dxa" w:w="1786"/>
            <w:shd w:val="clear" w:color="auto" w:fill="E8ECEE"/>
          </w:tcPr>
          <w:p>
            <w:pPr>
              <w:spacing w:after="40" w:before="40"/>
            </w:pPr>
            <w:r/>
            <w:r>
              <w:rPr>
                <w:rFonts w:ascii="Calibri" w:hAnsi="Calibri"/>
                <w:b/>
                <w:sz w:val="16"/>
              </w:rPr>
              <w:t>State gaming regimes</w:t>
            </w:r>
          </w:p>
        </w:tc>
        <w:tc>
          <w:tcPr>
            <w:tcW w:type="dxa" w:w="1786"/>
            <w:shd w:val="clear" w:color="auto" w:fill="E8ECEE"/>
          </w:tcPr>
          <w:p>
            <w:pPr>
              <w:spacing w:after="40" w:before="40"/>
            </w:pPr>
            <w:r/>
            <w:r>
              <w:rPr>
                <w:rFonts w:ascii="Calibri" w:hAnsi="Calibri"/>
                <w:b/>
                <w:sz w:val="16"/>
              </w:rPr>
              <w:t>UK LCCP and RTS</w:t>
            </w:r>
          </w:p>
        </w:tc>
        <w:tc>
          <w:tcPr>
            <w:tcW w:type="dxa" w:w="1786"/>
            <w:shd w:val="clear" w:color="auto" w:fill="E8ECEE"/>
          </w:tcPr>
          <w:p>
            <w:pPr>
              <w:spacing w:after="40" w:before="40"/>
            </w:pPr>
            <w:r/>
            <w:r>
              <w:rPr>
                <w:rFonts w:ascii="Calibri" w:hAnsi="Calibri"/>
                <w:b/>
                <w:sz w:val="16"/>
              </w:rPr>
              <w:t>PMCPS-M</w:t>
            </w:r>
          </w:p>
        </w:tc>
      </w:tr>
      <w:tr>
        <w:tc>
          <w:tcPr>
            <w:tcW w:type="dxa" w:w="1786"/>
          </w:tcPr>
          <w:p>
            <w:pPr>
              <w:spacing w:after="40" w:before="40"/>
            </w:pPr>
            <w:r/>
            <w:r>
              <w:rPr>
                <w:rFonts w:ascii="Times New Roman" w:hAnsi="Times New Roman"/>
                <w:sz w:val="17"/>
              </w:rPr>
              <w:t>Participant exclusion program</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Ohio, New Jersey, Virginia, Nevada</w:t>
            </w:r>
          </w:p>
        </w:tc>
        <w:tc>
          <w:tcPr>
            <w:tcW w:type="dxa" w:w="1786"/>
          </w:tcPr>
          <w:p>
            <w:pPr>
              <w:spacing w:after="40" w:before="40"/>
            </w:pPr>
            <w:r/>
            <w:r>
              <w:rPr>
                <w:rFonts w:ascii="Times New Roman" w:hAnsi="Times New Roman"/>
                <w:sz w:val="17"/>
              </w:rPr>
              <w:t>Yes, national scheme</w:t>
            </w:r>
          </w:p>
        </w:tc>
        <w:tc>
          <w:tcPr>
            <w:tcW w:type="dxa" w:w="1786"/>
          </w:tcPr>
          <w:p>
            <w:pPr>
              <w:spacing w:after="40" w:before="40"/>
            </w:pPr>
            <w:r/>
            <w:r>
              <w:rPr>
                <w:rFonts w:ascii="Times New Roman" w:hAnsi="Times New Roman"/>
                <w:sz w:val="17"/>
              </w:rPr>
              <w:t>§ 301</w:t>
            </w:r>
          </w:p>
        </w:tc>
      </w:tr>
      <w:tr>
        <w:tc>
          <w:tcPr>
            <w:tcW w:type="dxa" w:w="1786"/>
          </w:tcPr>
          <w:p>
            <w:pPr>
              <w:spacing w:after="40" w:before="40"/>
            </w:pPr>
            <w:r/>
            <w:r>
              <w:rPr>
                <w:rFonts w:ascii="Times New Roman" w:hAnsi="Times New Roman"/>
                <w:sz w:val="17"/>
              </w:rPr>
              <w:t>Participant-set financial limits</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New Jersey only</w:t>
            </w:r>
          </w:p>
        </w:tc>
        <w:tc>
          <w:tcPr>
            <w:tcW w:type="dxa" w:w="1786"/>
          </w:tcPr>
          <w:p>
            <w:pPr>
              <w:spacing w:after="40" w:before="40"/>
            </w:pPr>
            <w:r/>
            <w:r>
              <w:rPr>
                <w:rFonts w:ascii="Times New Roman" w:hAnsi="Times New Roman"/>
                <w:sz w:val="17"/>
              </w:rPr>
              <w:t>Yes, RTS 12</w:t>
            </w:r>
          </w:p>
        </w:tc>
        <w:tc>
          <w:tcPr>
            <w:tcW w:type="dxa" w:w="1786"/>
          </w:tcPr>
          <w:p>
            <w:pPr>
              <w:spacing w:after="40" w:before="40"/>
            </w:pPr>
            <w:r/>
            <w:r>
              <w:rPr>
                <w:rFonts w:ascii="Times New Roman" w:hAnsi="Times New Roman"/>
                <w:sz w:val="17"/>
              </w:rPr>
              <w:t>§ 302</w:t>
            </w:r>
          </w:p>
        </w:tc>
      </w:tr>
      <w:tr>
        <w:tc>
          <w:tcPr>
            <w:tcW w:type="dxa" w:w="1786"/>
          </w:tcPr>
          <w:p>
            <w:pPr>
              <w:spacing w:after="40" w:before="40"/>
            </w:pPr>
            <w:r/>
            <w:r>
              <w:rPr>
                <w:rFonts w:ascii="Times New Roman" w:hAnsi="Times New Roman"/>
                <w:sz w:val="17"/>
              </w:rPr>
              <w:t>Session time limits</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New Jersey</w:t>
            </w:r>
          </w:p>
        </w:tc>
        <w:tc>
          <w:tcPr>
            <w:tcW w:type="dxa" w:w="1786"/>
          </w:tcPr>
          <w:p>
            <w:pPr>
              <w:spacing w:after="40" w:before="40"/>
            </w:pPr>
            <w:r/>
            <w:r>
              <w:rPr>
                <w:rFonts w:ascii="Times New Roman" w:hAnsi="Times New Roman"/>
                <w:sz w:val="17"/>
              </w:rPr>
              <w:t>Yes, RTS 13</w:t>
            </w:r>
          </w:p>
        </w:tc>
        <w:tc>
          <w:tcPr>
            <w:tcW w:type="dxa" w:w="1786"/>
          </w:tcPr>
          <w:p>
            <w:pPr>
              <w:spacing w:after="40" w:before="40"/>
            </w:pPr>
            <w:r/>
            <w:r>
              <w:rPr>
                <w:rFonts w:ascii="Times New Roman" w:hAnsi="Times New Roman"/>
                <w:sz w:val="17"/>
              </w:rPr>
              <w:t>§ 302(b)</w:t>
            </w:r>
          </w:p>
        </w:tc>
      </w:tr>
      <w:tr>
        <w:tc>
          <w:tcPr>
            <w:tcW w:type="dxa" w:w="1786"/>
          </w:tcPr>
          <w:p>
            <w:pPr>
              <w:spacing w:after="40" w:before="40"/>
            </w:pPr>
            <w:r/>
            <w:r>
              <w:rPr>
                <w:rFonts w:ascii="Times New Roman" w:hAnsi="Times New Roman"/>
                <w:sz w:val="17"/>
              </w:rPr>
              <w:t>Participant-facing risk disclosure</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Ohio, New Jersey</w:t>
            </w:r>
          </w:p>
        </w:tc>
        <w:tc>
          <w:tcPr>
            <w:tcW w:type="dxa" w:w="1786"/>
          </w:tcPr>
          <w:p>
            <w:pPr>
              <w:spacing w:after="40" w:before="40"/>
            </w:pPr>
            <w:r/>
            <w:r>
              <w:rPr>
                <w:rFonts w:ascii="Times New Roman" w:hAnsi="Times New Roman"/>
                <w:sz w:val="17"/>
              </w:rPr>
              <w:t>Yes</w:t>
            </w:r>
          </w:p>
        </w:tc>
        <w:tc>
          <w:tcPr>
            <w:tcW w:type="dxa" w:w="1786"/>
          </w:tcPr>
          <w:p>
            <w:pPr>
              <w:spacing w:after="40" w:before="40"/>
            </w:pPr>
            <w:r/>
            <w:r>
              <w:rPr>
                <w:rFonts w:ascii="Times New Roman" w:hAnsi="Times New Roman"/>
                <w:sz w:val="17"/>
              </w:rPr>
              <w:t>§ 303</w:t>
            </w:r>
          </w:p>
        </w:tc>
      </w:tr>
      <w:tr>
        <w:tc>
          <w:tcPr>
            <w:tcW w:type="dxa" w:w="1786"/>
          </w:tcPr>
          <w:p>
            <w:pPr>
              <w:spacing w:after="40" w:before="40"/>
            </w:pPr>
            <w:r/>
            <w:r>
              <w:rPr>
                <w:rFonts w:ascii="Times New Roman" w:hAnsi="Times New Roman"/>
                <w:sz w:val="17"/>
              </w:rPr>
              <w:t>Problem gambling plan</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Ohio, Nevada, Virginia</w:t>
            </w:r>
          </w:p>
        </w:tc>
        <w:tc>
          <w:tcPr>
            <w:tcW w:type="dxa" w:w="1786"/>
          </w:tcPr>
          <w:p>
            <w:pPr>
              <w:spacing w:after="40" w:before="40"/>
            </w:pPr>
            <w:r/>
            <w:r>
              <w:rPr>
                <w:rFonts w:ascii="Times New Roman" w:hAnsi="Times New Roman"/>
                <w:sz w:val="17"/>
              </w:rPr>
              <w:t>Yes</w:t>
            </w:r>
          </w:p>
        </w:tc>
        <w:tc>
          <w:tcPr>
            <w:tcW w:type="dxa" w:w="1786"/>
          </w:tcPr>
          <w:p>
            <w:pPr>
              <w:spacing w:after="40" w:before="40"/>
            </w:pPr>
            <w:r/>
            <w:r>
              <w:rPr>
                <w:rFonts w:ascii="Times New Roman" w:hAnsi="Times New Roman"/>
                <w:sz w:val="17"/>
              </w:rPr>
              <w:t>§ 304</w:t>
            </w:r>
          </w:p>
        </w:tc>
      </w:tr>
      <w:tr>
        <w:tc>
          <w:tcPr>
            <w:tcW w:type="dxa" w:w="1786"/>
          </w:tcPr>
          <w:p>
            <w:pPr>
              <w:spacing w:after="40" w:before="40"/>
            </w:pPr>
            <w:r/>
            <w:r>
              <w:rPr>
                <w:rFonts w:ascii="Times New Roman" w:hAnsi="Times New Roman"/>
                <w:sz w:val="17"/>
              </w:rPr>
              <w:t>Problem gambling funding</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Via gaming tax</w:t>
            </w:r>
          </w:p>
        </w:tc>
        <w:tc>
          <w:tcPr>
            <w:tcW w:type="dxa" w:w="1786"/>
          </w:tcPr>
          <w:p>
            <w:pPr>
              <w:spacing w:after="40" w:before="40"/>
            </w:pPr>
            <w:r/>
            <w:r>
              <w:rPr>
                <w:rFonts w:ascii="Times New Roman" w:hAnsi="Times New Roman"/>
                <w:sz w:val="17"/>
              </w:rPr>
              <w:t>Yes</w:t>
            </w:r>
          </w:p>
        </w:tc>
        <w:tc>
          <w:tcPr>
            <w:tcW w:type="dxa" w:w="1786"/>
          </w:tcPr>
          <w:p>
            <w:pPr>
              <w:spacing w:after="40" w:before="40"/>
            </w:pPr>
            <w:r/>
            <w:r>
              <w:rPr>
                <w:rFonts w:ascii="Times New Roman" w:hAnsi="Times New Roman"/>
                <w:sz w:val="17"/>
              </w:rPr>
              <w:t>§ 304(c)</w:t>
            </w:r>
          </w:p>
        </w:tc>
      </w:tr>
      <w:tr>
        <w:tc>
          <w:tcPr>
            <w:tcW w:type="dxa" w:w="1786"/>
          </w:tcPr>
          <w:p>
            <w:pPr>
              <w:spacing w:after="40" w:before="40"/>
            </w:pPr>
            <w:r/>
            <w:r>
              <w:rPr>
                <w:rFonts w:ascii="Times New Roman" w:hAnsi="Times New Roman"/>
                <w:sz w:val="17"/>
              </w:rPr>
              <w:t>Minimum age</w:t>
            </w:r>
          </w:p>
        </w:tc>
        <w:tc>
          <w:tcPr>
            <w:tcW w:type="dxa" w:w="1786"/>
          </w:tcPr>
          <w:p>
            <w:pPr>
              <w:spacing w:after="40" w:before="40"/>
            </w:pPr>
            <w:r/>
            <w:r>
              <w:rPr>
                <w:rFonts w:ascii="Times New Roman" w:hAnsi="Times New Roman"/>
                <w:sz w:val="17"/>
              </w:rPr>
              <w:t>None specific</w:t>
            </w:r>
          </w:p>
        </w:tc>
        <w:tc>
          <w:tcPr>
            <w:tcW w:type="dxa" w:w="1786"/>
          </w:tcPr>
          <w:p>
            <w:pPr>
              <w:spacing w:after="40" w:before="40"/>
            </w:pPr>
            <w:r/>
            <w:r>
              <w:rPr>
                <w:rFonts w:ascii="Times New Roman" w:hAnsi="Times New Roman"/>
                <w:sz w:val="17"/>
              </w:rPr>
              <w:t>Yes, 21</w:t>
            </w:r>
          </w:p>
        </w:tc>
        <w:tc>
          <w:tcPr>
            <w:tcW w:type="dxa" w:w="1786"/>
          </w:tcPr>
          <w:p>
            <w:pPr>
              <w:spacing w:after="40" w:before="40"/>
            </w:pPr>
            <w:r/>
            <w:r>
              <w:rPr>
                <w:rFonts w:ascii="Times New Roman" w:hAnsi="Times New Roman"/>
                <w:sz w:val="17"/>
              </w:rPr>
              <w:t>Yes, 18</w:t>
            </w:r>
          </w:p>
        </w:tc>
        <w:tc>
          <w:tcPr>
            <w:tcW w:type="dxa" w:w="1786"/>
          </w:tcPr>
          <w:p>
            <w:pPr>
              <w:spacing w:after="40" w:before="40"/>
            </w:pPr>
            <w:r/>
            <w:r>
              <w:rPr>
                <w:rFonts w:ascii="Times New Roman" w:hAnsi="Times New Roman"/>
                <w:sz w:val="17"/>
              </w:rPr>
              <w:t>§ 403</w:t>
            </w:r>
          </w:p>
        </w:tc>
      </w:tr>
      <w:tr>
        <w:tc>
          <w:tcPr>
            <w:tcW w:type="dxa" w:w="1786"/>
          </w:tcPr>
          <w:p>
            <w:pPr>
              <w:spacing w:after="40" w:before="40"/>
            </w:pPr>
            <w:r/>
            <w:r>
              <w:rPr>
                <w:rFonts w:ascii="Times New Roman" w:hAnsi="Times New Roman"/>
                <w:sz w:val="17"/>
              </w:rPr>
              <w:t>Advance restriction of influencing persons</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Ohio, for sports</w:t>
            </w:r>
          </w:p>
        </w:tc>
        <w:tc>
          <w:tcPr>
            <w:tcW w:type="dxa" w:w="1786"/>
          </w:tcPr>
          <w:p>
            <w:pPr>
              <w:spacing w:after="40" w:before="40"/>
            </w:pPr>
            <w:r/>
            <w:r>
              <w:rPr>
                <w:rFonts w:ascii="Times New Roman" w:hAnsi="Times New Roman"/>
                <w:sz w:val="17"/>
              </w:rPr>
              <w:t>Not applicable</w:t>
            </w:r>
          </w:p>
        </w:tc>
        <w:tc>
          <w:tcPr>
            <w:tcW w:type="dxa" w:w="1786"/>
          </w:tcPr>
          <w:p>
            <w:pPr>
              <w:spacing w:after="40" w:before="40"/>
            </w:pPr>
            <w:r/>
            <w:r>
              <w:rPr>
                <w:rFonts w:ascii="Times New Roman" w:hAnsi="Times New Roman"/>
                <w:sz w:val="17"/>
              </w:rPr>
              <w:t>§ 402</w:t>
            </w:r>
          </w:p>
        </w:tc>
      </w:tr>
      <w:tr>
        <w:tc>
          <w:tcPr>
            <w:tcW w:type="dxa" w:w="1786"/>
          </w:tcPr>
          <w:p>
            <w:pPr>
              <w:spacing w:after="40" w:before="40"/>
            </w:pPr>
            <w:r/>
            <w:r>
              <w:rPr>
                <w:rFonts w:ascii="Times New Roman" w:hAnsi="Times New Roman"/>
                <w:sz w:val="17"/>
              </w:rPr>
              <w:t>Post-hoc manipulation enforcement</w:t>
            </w:r>
          </w:p>
        </w:tc>
        <w:tc>
          <w:tcPr>
            <w:tcW w:type="dxa" w:w="1786"/>
          </w:tcPr>
          <w:p>
            <w:pPr>
              <w:spacing w:after="40" w:before="40"/>
            </w:pPr>
            <w:r/>
            <w:r>
              <w:rPr>
                <w:rFonts w:ascii="Times New Roman" w:hAnsi="Times New Roman"/>
                <w:sz w:val="17"/>
              </w:rPr>
              <w:t>Yes, CEA § 6(c)(1)</w:t>
            </w:r>
          </w:p>
        </w:tc>
        <w:tc>
          <w:tcPr>
            <w:tcW w:type="dxa" w:w="1786"/>
          </w:tcPr>
          <w:p>
            <w:pPr>
              <w:spacing w:after="40" w:before="40"/>
            </w:pPr>
            <w:r/>
            <w:r>
              <w:rPr>
                <w:rFonts w:ascii="Times New Roman" w:hAnsi="Times New Roman"/>
                <w:sz w:val="17"/>
              </w:rPr>
              <w:t>Yes</w:t>
            </w:r>
          </w:p>
        </w:tc>
        <w:tc>
          <w:tcPr>
            <w:tcW w:type="dxa" w:w="1786"/>
          </w:tcPr>
          <w:p>
            <w:pPr>
              <w:spacing w:after="40" w:before="40"/>
            </w:pPr>
            <w:r/>
            <w:r>
              <w:rPr>
                <w:rFonts w:ascii="Times New Roman" w:hAnsi="Times New Roman"/>
                <w:sz w:val="17"/>
              </w:rPr>
              <w:t>Yes</w:t>
            </w:r>
          </w:p>
        </w:tc>
        <w:tc>
          <w:tcPr>
            <w:tcW w:type="dxa" w:w="1786"/>
          </w:tcPr>
          <w:p>
            <w:pPr>
              <w:spacing w:after="40" w:before="40"/>
            </w:pPr>
            <w:r/>
            <w:r>
              <w:rPr>
                <w:rFonts w:ascii="Times New Roman" w:hAnsi="Times New Roman"/>
                <w:sz w:val="17"/>
              </w:rPr>
              <w:t>§ 401</w:t>
            </w:r>
          </w:p>
        </w:tc>
      </w:tr>
      <w:tr>
        <w:tc>
          <w:tcPr>
            <w:tcW w:type="dxa" w:w="1786"/>
          </w:tcPr>
          <w:p>
            <w:pPr>
              <w:spacing w:after="40" w:before="40"/>
            </w:pPr>
            <w:r/>
            <w:r>
              <w:rPr>
                <w:rFonts w:ascii="Times New Roman" w:hAnsi="Times New Roman"/>
                <w:sz w:val="17"/>
              </w:rPr>
              <w:t>Independent integrity monitoring</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Ohio</w:t>
            </w:r>
          </w:p>
        </w:tc>
        <w:tc>
          <w:tcPr>
            <w:tcW w:type="dxa" w:w="1786"/>
          </w:tcPr>
          <w:p>
            <w:pPr>
              <w:spacing w:after="40" w:before="40"/>
            </w:pPr>
            <w:r/>
            <w:r>
              <w:rPr>
                <w:rFonts w:ascii="Times New Roman" w:hAnsi="Times New Roman"/>
                <w:sz w:val="17"/>
              </w:rPr>
              <w:t>No</w:t>
            </w:r>
          </w:p>
        </w:tc>
        <w:tc>
          <w:tcPr>
            <w:tcW w:type="dxa" w:w="1786"/>
          </w:tcPr>
          <w:p>
            <w:pPr>
              <w:spacing w:after="40" w:before="40"/>
            </w:pPr>
            <w:r/>
            <w:r>
              <w:rPr>
                <w:rFonts w:ascii="Times New Roman" w:hAnsi="Times New Roman"/>
                <w:sz w:val="17"/>
              </w:rPr>
              <w:t>§ 405(b)</w:t>
            </w:r>
          </w:p>
        </w:tc>
      </w:tr>
      <w:tr>
        <w:tc>
          <w:tcPr>
            <w:tcW w:type="dxa" w:w="1786"/>
          </w:tcPr>
          <w:p>
            <w:pPr>
              <w:spacing w:after="40" w:before="40"/>
            </w:pPr>
            <w:r/>
            <w:r>
              <w:rPr>
                <w:rFonts w:ascii="Times New Roman" w:hAnsi="Times New Roman"/>
                <w:sz w:val="17"/>
              </w:rPr>
              <w:t>Published resolution criteria</w:t>
            </w:r>
          </w:p>
        </w:tc>
        <w:tc>
          <w:tcPr>
            <w:tcW w:type="dxa" w:w="1786"/>
          </w:tcPr>
          <w:p>
            <w:pPr>
              <w:spacing w:after="40" w:before="40"/>
            </w:pPr>
            <w:r/>
            <w:r>
              <w:rPr>
                <w:rFonts w:ascii="Times New Roman" w:hAnsi="Times New Roman"/>
                <w:sz w:val="17"/>
              </w:rPr>
              <w:t>Partial, § 40.11 review</w:t>
            </w:r>
          </w:p>
        </w:tc>
        <w:tc>
          <w:tcPr>
            <w:tcW w:type="dxa" w:w="1786"/>
          </w:tcPr>
          <w:p>
            <w:pPr>
              <w:spacing w:after="40" w:before="40"/>
            </w:pPr>
            <w:r/>
            <w:r>
              <w:rPr>
                <w:rFonts w:ascii="Times New Roman" w:hAnsi="Times New Roman"/>
                <w:sz w:val="17"/>
              </w:rPr>
              <w:t>Approved wager types</w:t>
            </w:r>
          </w:p>
        </w:tc>
        <w:tc>
          <w:tcPr>
            <w:tcW w:type="dxa" w:w="1786"/>
          </w:tcPr>
          <w:p>
            <w:pPr>
              <w:spacing w:after="40" w:before="40"/>
            </w:pPr>
            <w:r/>
            <w:r>
              <w:rPr>
                <w:rFonts w:ascii="Times New Roman" w:hAnsi="Times New Roman"/>
                <w:sz w:val="17"/>
              </w:rPr>
              <w:t>No</w:t>
            </w:r>
          </w:p>
        </w:tc>
        <w:tc>
          <w:tcPr>
            <w:tcW w:type="dxa" w:w="1786"/>
          </w:tcPr>
          <w:p>
            <w:pPr>
              <w:spacing w:after="40" w:before="40"/>
            </w:pPr>
            <w:r/>
            <w:r>
              <w:rPr>
                <w:rFonts w:ascii="Times New Roman" w:hAnsi="Times New Roman"/>
                <w:sz w:val="17"/>
              </w:rPr>
              <w:t>§ 501</w:t>
            </w:r>
          </w:p>
        </w:tc>
      </w:tr>
      <w:tr>
        <w:tc>
          <w:tcPr>
            <w:tcW w:type="dxa" w:w="1786"/>
          </w:tcPr>
          <w:p>
            <w:pPr>
              <w:spacing w:after="40" w:before="40"/>
            </w:pPr>
            <w:r/>
            <w:r>
              <w:rPr>
                <w:rFonts w:ascii="Times New Roman" w:hAnsi="Times New Roman"/>
                <w:sz w:val="17"/>
              </w:rPr>
              <w:t>Resolution source independence</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Not applicable</w:t>
            </w:r>
          </w:p>
        </w:tc>
        <w:tc>
          <w:tcPr>
            <w:tcW w:type="dxa" w:w="1786"/>
          </w:tcPr>
          <w:p>
            <w:pPr>
              <w:spacing w:after="40" w:before="40"/>
            </w:pPr>
            <w:r/>
            <w:r>
              <w:rPr>
                <w:rFonts w:ascii="Times New Roman" w:hAnsi="Times New Roman"/>
                <w:sz w:val="17"/>
              </w:rPr>
              <w:t>No</w:t>
            </w:r>
          </w:p>
        </w:tc>
        <w:tc>
          <w:tcPr>
            <w:tcW w:type="dxa" w:w="1786"/>
          </w:tcPr>
          <w:p>
            <w:pPr>
              <w:spacing w:after="40" w:before="40"/>
            </w:pPr>
            <w:r/>
            <w:r>
              <w:rPr>
                <w:rFonts w:ascii="Times New Roman" w:hAnsi="Times New Roman"/>
                <w:sz w:val="17"/>
              </w:rPr>
              <w:t>§ 502</w:t>
            </w:r>
          </w:p>
        </w:tc>
      </w:tr>
      <w:tr>
        <w:tc>
          <w:tcPr>
            <w:tcW w:type="dxa" w:w="1786"/>
          </w:tcPr>
          <w:p>
            <w:pPr>
              <w:spacing w:after="40" w:before="40"/>
            </w:pPr>
            <w:r/>
            <w:r>
              <w:rPr>
                <w:rFonts w:ascii="Times New Roman" w:hAnsi="Times New Roman"/>
                <w:sz w:val="17"/>
              </w:rPr>
              <w:t>Settlement dispute procedure</w:t>
            </w:r>
          </w:p>
        </w:tc>
        <w:tc>
          <w:tcPr>
            <w:tcW w:type="dxa" w:w="1786"/>
          </w:tcPr>
          <w:p>
            <w:pPr>
              <w:spacing w:after="40" w:before="40"/>
            </w:pPr>
            <w:r/>
            <w:r>
              <w:rPr>
                <w:rFonts w:ascii="Times New Roman" w:hAnsi="Times New Roman"/>
                <w:sz w:val="17"/>
              </w:rPr>
              <w:t>None</w:t>
            </w:r>
          </w:p>
        </w:tc>
        <w:tc>
          <w:tcPr>
            <w:tcW w:type="dxa" w:w="1786"/>
          </w:tcPr>
          <w:p>
            <w:pPr>
              <w:spacing w:after="40" w:before="40"/>
            </w:pPr>
            <w:r/>
            <w:r>
              <w:rPr>
                <w:rFonts w:ascii="Times New Roman" w:hAnsi="Times New Roman"/>
                <w:sz w:val="17"/>
              </w:rPr>
              <w:t>Complaint rules only</w:t>
            </w:r>
          </w:p>
        </w:tc>
        <w:tc>
          <w:tcPr>
            <w:tcW w:type="dxa" w:w="1786"/>
          </w:tcPr>
          <w:p>
            <w:pPr>
              <w:spacing w:after="40" w:before="40"/>
            </w:pPr>
            <w:r/>
            <w:r>
              <w:rPr>
                <w:rFonts w:ascii="Times New Roman" w:hAnsi="Times New Roman"/>
                <w:sz w:val="17"/>
              </w:rPr>
              <w:t>No</w:t>
            </w:r>
          </w:p>
        </w:tc>
        <w:tc>
          <w:tcPr>
            <w:tcW w:type="dxa" w:w="1786"/>
          </w:tcPr>
          <w:p>
            <w:pPr>
              <w:spacing w:after="40" w:before="40"/>
            </w:pPr>
            <w:r/>
            <w:r>
              <w:rPr>
                <w:rFonts w:ascii="Times New Roman" w:hAnsi="Times New Roman"/>
                <w:sz w:val="17"/>
              </w:rPr>
              <w:t>§ 504</w:t>
            </w:r>
          </w:p>
        </w:tc>
      </w:tr>
      <w:tr>
        <w:tc>
          <w:tcPr>
            <w:tcW w:type="dxa" w:w="1786"/>
          </w:tcPr>
          <w:p>
            <w:pPr>
              <w:spacing w:after="40" w:before="40"/>
            </w:pPr>
            <w:r/>
            <w:r>
              <w:rPr>
                <w:rFonts w:ascii="Times New Roman" w:hAnsi="Times New Roman"/>
                <w:sz w:val="17"/>
              </w:rPr>
              <w:t>Minimum internal control standards</w:t>
            </w:r>
          </w:p>
        </w:tc>
        <w:tc>
          <w:tcPr>
            <w:tcW w:type="dxa" w:w="1786"/>
          </w:tcPr>
          <w:p>
            <w:pPr>
              <w:spacing w:after="40" w:before="40"/>
            </w:pPr>
            <w:r/>
            <w:r>
              <w:rPr>
                <w:rFonts w:ascii="Times New Roman" w:hAnsi="Times New Roman"/>
                <w:sz w:val="17"/>
              </w:rPr>
              <w:t>Core principles only</w:t>
            </w:r>
          </w:p>
        </w:tc>
        <w:tc>
          <w:tcPr>
            <w:tcW w:type="dxa" w:w="1786"/>
          </w:tcPr>
          <w:p>
            <w:pPr>
              <w:spacing w:after="40" w:before="40"/>
            </w:pPr>
            <w:r/>
            <w:r>
              <w:rPr>
                <w:rFonts w:ascii="Times New Roman" w:hAnsi="Times New Roman"/>
                <w:sz w:val="17"/>
              </w:rPr>
              <w:t>Yes</w:t>
            </w:r>
          </w:p>
        </w:tc>
        <w:tc>
          <w:tcPr>
            <w:tcW w:type="dxa" w:w="1786"/>
          </w:tcPr>
          <w:p>
            <w:pPr>
              <w:spacing w:after="40" w:before="40"/>
            </w:pPr>
            <w:r/>
            <w:r>
              <w:rPr>
                <w:rFonts w:ascii="Times New Roman" w:hAnsi="Times New Roman"/>
                <w:sz w:val="17"/>
              </w:rPr>
              <w:t>Yes</w:t>
            </w:r>
          </w:p>
        </w:tc>
        <w:tc>
          <w:tcPr>
            <w:tcW w:type="dxa" w:w="1786"/>
          </w:tcPr>
          <w:p>
            <w:pPr>
              <w:spacing w:after="40" w:before="40"/>
            </w:pPr>
            <w:r/>
            <w:r>
              <w:rPr>
                <w:rFonts w:ascii="Times New Roman" w:hAnsi="Times New Roman"/>
                <w:sz w:val="17"/>
              </w:rPr>
              <w:t>Parts 200, 600</w:t>
            </w:r>
          </w:p>
        </w:tc>
      </w:tr>
    </w:tbl>
    <w:p>
      <w:pPr>
        <w:spacing w:after="80"/>
      </w:pPr>
    </w:p>
    <w:p>
      <w:pPr>
        <w:spacing w:before="240"/>
        <w:jc w:val="center"/>
      </w:pPr>
      <w:r>
        <w:rPr>
          <w:i/>
          <w:color w:val="555555"/>
          <w:sz w:val="19"/>
        </w:rPr>
        <w:t>End of PMCPS-M Version 1.0 Working Draft.</w:t>
      </w:r>
    </w:p>
    <w:sectPr w:rsidR="00FC693F" w:rsidRPr="0006063C" w:rsidSect="00034616">
      <w:headerReference w:type="default" r:id="rId9"/>
      <w:footerReference w:type="default" r:id="rId10"/>
      <w:headerReference w:type="first" r:id="rId11"/>
      <w:footerReference w:type="first" r:id="rId12"/>
      <w:pgSz w:w="12240" w:h="15840"/>
      <w:pgMar w:top="1440" w:right="1656" w:bottom="1440" w:left="1656" w:header="79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55555"/>
        <w:sz w:val="16"/>
      </w:rPr>
      <w:t xml:space="preserve">Prepared by Tony Morelli, PhD  ·  Institute for Emerging Gaming Markets | Aevora Solutions LLC  ·  Page </w:t>
    </w:r>
    <w:r>
      <w:rPr>
        <w:rFonts w:ascii="Calibri" w:hAnsi="Calibri"/>
        <w:color w:val="555555"/>
        <w:sz w:val="16"/>
      </w:rPr>
      <w:fldChar w:fldCharType="begin"/>
      <w:instrText xml:space="preserve">PAGE</w:instrText>
      <w:fldChar w:fldCharType="separate"/>
      <w:t> </w:t>
      <w:fldChar w:fldCharType="end"/>
    </w:r>
    <w:r>
      <w:rPr>
        <w:rFonts w:ascii="Calibri" w:hAnsi="Calibri"/>
        <w:color w:val="555555"/>
        <w:sz w:val="16"/>
      </w:rPr>
      <w:t xml:space="preserve"> of </w:t>
    </w:r>
    <w:r>
      <w:rPr>
        <w:rFonts w:ascii="Calibri" w:hAnsi="Calibri"/>
        <w:color w:val="555555"/>
        <w:sz w:val="16"/>
      </w:rPr>
      <w:fldChar w:fldCharType="begin"/>
      <w:instrText xml:space="preserve">NUMPAGES</w:instrText>
      <w:fldChar w:fldCharType="separate"/>
      <w:t> </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4" w:color="8A8A8A"/>
      </w:pBdr>
    </w:pPr>
    <w:r>
      <w:rPr>
        <w:rFonts w:ascii="Calibri" w:hAnsi="Calibri"/>
        <w:color w:val="555555"/>
        <w:sz w:val="16"/>
      </w:rPr>
      <w:t>Prediction Market Consumer Protection Standards    ·    PMCPS-M    ·    Minimum Internal Control Standards    ·    Working Draft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4"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40"/>
      <w:outlineLvl w:val="0"/>
    </w:pPr>
    <w:rPr>
      <w:rFonts w:asciiTheme="majorHAnsi" w:eastAsiaTheme="majorEastAsia" w:hAnsiTheme="majorHAnsi" w:cstheme="majorBidi" w:ascii="Times New Roman" w:hAnsi="Times New Roman"/>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