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400" w:before="0"/>
        <w:jc w:val="center"/>
      </w:pPr>
      <w:r>
        <w:rPr>
          <w:rFonts w:ascii="Times New Roman" w:hAnsi="Times New Roman"/>
          <w:b w:val="0"/>
          <w:caps/>
          <w:color w:val="555555"/>
          <w:sz w:val="24"/>
        </w:rPr>
        <w:t>Skill-Based Charitable Gaming Standards</w:t>
      </w:r>
    </w:p>
    <w:p>
      <w:pPr>
        <w:spacing w:after="200" w:before="0"/>
        <w:jc w:val="center"/>
      </w:pPr>
      <w:r>
        <w:rPr>
          <w:rFonts w:ascii="Times New Roman" w:hAnsi="Times New Roman"/>
          <w:b/>
          <w:sz w:val="52"/>
        </w:rPr>
        <w:t>Minimum Internal Control Standards</w:t>
      </w:r>
    </w:p>
    <w:p>
      <w:pPr>
        <w:spacing w:after="520" w:before="0"/>
        <w:jc w:val="center"/>
      </w:pPr>
      <w:r>
        <w:rPr>
          <w:rFonts w:ascii="Times New Roman" w:hAnsi="Times New Roman"/>
          <w:b w:val="0"/>
          <w:color w:val="143C46"/>
          <w:sz w:val="24"/>
        </w:rPr>
        <w:t>SBCGS-M  ·  Version 1.3, Working Draft for Comment</w:t>
      </w:r>
    </w:p>
    <w:p>
      <w:pPr>
        <w:spacing w:after="440"/>
        <w:pBdr>
          <w:bottom w:val="single" w:sz="12" w:space="6" w:color="143C46"/>
        </w:pBdr>
      </w:pPr>
    </w:p>
    <w:p>
      <w:pPr>
        <w:spacing w:after="60"/>
        <w:jc w:val="center"/>
      </w:pPr>
      <w:r>
        <w:rPr>
          <w:rFonts w:ascii="Calibri" w:hAnsi="Calibri"/>
          <w:caps/>
          <w:color w:val="555555"/>
          <w:sz w:val="15"/>
        </w:rPr>
        <w:t xml:space="preserve">PREPARED BY   </w:t>
      </w:r>
      <w:r>
        <w:rPr>
          <w:rFonts w:ascii="Times New Roman" w:hAnsi="Times New Roman"/>
          <w:b/>
          <w:sz w:val="24"/>
        </w:rPr>
        <w:t>Tony Morelli, PhD</w:t>
      </w:r>
    </w:p>
    <w:p>
      <w:pPr>
        <w:spacing w:after="60"/>
        <w:jc w:val="center"/>
      </w:pPr>
      <w:r>
        <w:rPr>
          <w:rFonts w:ascii="Times New Roman" w:hAnsi="Times New Roman"/>
          <w:b/>
          <w:sz w:val="24"/>
        </w:rPr>
        <w:t>Institute for Emerging Gaming Markets  ·  Charleston, SC</w:t>
      </w:r>
    </w:p>
    <w:p>
      <w:pPr>
        <w:spacing w:after="60"/>
        <w:jc w:val="center"/>
      </w:pPr>
      <w:r>
        <w:rPr>
          <w:rFonts w:ascii="Calibri" w:hAnsi="Calibri"/>
          <w:caps/>
          <w:color w:val="555555"/>
          <w:sz w:val="15"/>
        </w:rPr>
        <w:t xml:space="preserve">ISSUED   </w:t>
      </w:r>
      <w:r>
        <w:rPr>
          <w:rFonts w:ascii="Times New Roman" w:hAnsi="Times New Roman"/>
          <w:b w:val="0"/>
          <w:sz w:val="24"/>
        </w:rPr>
        <w:t>August 2026</w:t>
      </w:r>
    </w:p>
    <w:p>
      <w:pPr>
        <w:spacing w:after="60"/>
        <w:jc w:val="center"/>
      </w:pPr>
      <w:r>
        <w:rPr>
          <w:rFonts w:ascii="Calibri" w:hAnsi="Calibri"/>
          <w:caps/>
          <w:color w:val="555555"/>
          <w:sz w:val="15"/>
        </w:rPr>
        <w:t xml:space="preserve">DESIGNATION   </w:t>
      </w:r>
      <w:r>
        <w:rPr>
          <w:rFonts w:ascii="Times New Roman" w:hAnsi="Times New Roman"/>
          <w:b w:val="0"/>
          <w:sz w:val="24"/>
        </w:rPr>
        <w:t>SBCGS-M</w:t>
      </w:r>
    </w:p>
    <w:p>
      <w:pPr>
        <w:spacing w:after="60"/>
        <w:jc w:val="center"/>
      </w:pPr>
      <w:r>
        <w:rPr>
          <w:rFonts w:ascii="Calibri" w:hAnsi="Calibri"/>
          <w:caps/>
          <w:color w:val="555555"/>
          <w:sz w:val="15"/>
        </w:rPr>
        <w:t xml:space="preserve">SUPERSEDES   </w:t>
      </w:r>
      <w:r>
        <w:rPr>
          <w:rFonts w:ascii="Times New Roman" w:hAnsi="Times New Roman"/>
          <w:b w:val="0"/>
          <w:sz w:val="24"/>
        </w:rPr>
        <w:t>v1.2</w:t>
      </w:r>
    </w:p>
    <w:p>
      <w:pPr>
        <w:spacing w:before="520"/>
        <w:pBdr>
          <w:top w:val="single" w:sz="6" w:space="6" w:color="8A8A8A"/>
        </w:pBdr>
      </w:pPr>
    </w:p>
    <w:p>
      <w:pPr>
        <w:spacing w:before="200"/>
        <w:jc w:val="center"/>
      </w:pPr>
      <w:r>
        <w:rPr>
          <w:rFonts w:ascii="Calibri" w:hAnsi="Calibri"/>
          <w:b/>
          <w:color w:val="8C3D1C"/>
          <w:sz w:val="18"/>
        </w:rPr>
        <w:t>STATUS:  Draft. Not adopted by any regulatory authority.</w:t>
      </w:r>
    </w:p>
    <w:p>
      <w:r>
        <w:br w:type="page"/>
      </w:r>
    </w:p>
    <w:p>
      <w:pPr>
        <w:spacing w:after="200"/>
        <w:pBdr>
          <w:bottom w:val="single" w:sz="6" w:space="6" w:color="8A8A8A"/>
        </w:pBdr>
      </w:pPr>
      <w:r>
        <w:rPr>
          <w:rFonts w:ascii="Calibri" w:hAnsi="Calibri"/>
          <w:b/>
          <w:sz w:val="22"/>
        </w:rPr>
        <w:t>CONTENTS</w:t>
      </w:r>
    </w:p>
    <w:p>
      <w:r>
        <w:fldChar w:fldCharType="begin"/>
        <w:instrText xml:space="preserve">TOC \o "1-2" \h \z \u</w:instrText>
        <w:fldChar w:fldCharType="separate"/>
        <w:t> </w:t>
        <w:fldChar w:fldCharType="end"/>
      </w:r>
    </w:p>
    <w:p>
      <w:r>
        <w:rPr>
          <w:i/>
          <w:color w:val="555555"/>
          <w:sz w:val="17"/>
        </w:rPr>
        <w:t>If the contents above appear blank, select the field and press F9 to build it.</w:t>
      </w:r>
    </w:p>
    <w:p>
      <w:r>
        <w:br w:type="page"/>
      </w:r>
    </w:p>
    <w:p>
      <w:pPr>
        <w:pStyle w:val="Heading1"/>
        <w:pBdr>
          <w:bottom w:val="single" w:sz="8" w:space="6" w:color="143C46"/>
        </w:pBdr>
      </w:pPr>
      <w:r>
        <w:rPr>
          <w:rFonts w:ascii="Times New Roman" w:hAnsi="Times New Roman"/>
          <w:b/>
          <w:color w:val="000000"/>
          <w:sz w:val="26"/>
        </w:rPr>
        <w:t>Prefatory Note</w:t>
      </w:r>
    </w:p>
    <w:p>
      <w:pPr>
        <w:jc w:val="both"/>
      </w:pPr>
      <w:r>
        <w:rPr>
          <w:rFonts w:ascii="Times New Roman" w:hAnsi="Times New Roman"/>
          <w:sz w:val="22"/>
        </w:rPr>
        <w:t>This is the minimum internal control standard in the SBCGS family. It states the floor of acceptable practice for a person that offers a covered product to a player, and for the licensed organization for whose benefit the product is offered.</w:t>
      </w:r>
    </w:p>
    <w:p>
      <w:pPr>
        <w:jc w:val="both"/>
      </w:pPr>
      <w:r>
        <w:rPr>
          <w:rFonts w:ascii="Times New Roman" w:hAnsi="Times New Roman"/>
          <w:sz w:val="22"/>
        </w:rPr>
        <w:t>Scope is determined by SBCGS-C. This document assumes it. A person applying this document begins with the classification record required by SBCGS-C § 108, because several requirements here take their content from it. The disclosure required by § 304 depends on whether the product is a demonstrated skill product or a nominal skill product under SBCGS-C § 106(g). The obligations in Part 500 apply only where a charitable representation is made under SBCGS-C § 107(b).</w:t>
      </w:r>
    </w:p>
    <w:p>
      <w:pPr>
        <w:jc w:val="both"/>
      </w:pPr>
      <w:r>
        <w:rPr>
          <w:rFonts w:ascii="Times New Roman" w:hAnsi="Times New Roman"/>
          <w:sz w:val="22"/>
        </w:rPr>
        <w:t>Three features of this category shape the document and distinguish it from an internal control standard written for a casino floor or for an online operator.</w:t>
      </w:r>
    </w:p>
    <w:p>
      <w:pPr>
        <w:jc w:val="both"/>
      </w:pPr>
      <w:r>
        <w:rPr>
          <w:rFonts w:ascii="Times New Roman" w:hAnsi="Times New Roman"/>
          <w:b/>
          <w:sz w:val="22"/>
        </w:rPr>
        <w:t>The player is anonymous and the venue is not a gaming venue.</w:t>
      </w:r>
      <w:r>
        <w:rPr>
          <w:rFonts w:ascii="Times New Roman" w:hAnsi="Times New Roman"/>
          <w:sz w:val="22"/>
        </w:rPr>
        <w:t xml:space="preserve"> A player walks up to a device in a tavern, a fraternal club, a veterans post, or a convenience store, inserts cash, and plays. There is no account, no registration, no cashier who knows the player, and frequently no employee within sight of the device. Every control in an account-based framework that depends on knowing who the player is fails here. Part 300 and Part 400 are written to work at a device rather than in an account, and where a control genuinely cannot work without identity, this document says so and requires identity.</w:t>
      </w:r>
    </w:p>
    <w:p>
      <w:pPr>
        <w:jc w:val="both"/>
      </w:pPr>
      <w:r>
        <w:rPr>
          <w:rFonts w:ascii="Times New Roman" w:hAnsi="Times New Roman"/>
          <w:b/>
          <w:sz w:val="22"/>
        </w:rPr>
        <w:t>The operator, the host, and the beneficiary are three different people with different interests.</w:t>
      </w:r>
      <w:r>
        <w:rPr>
          <w:rFonts w:ascii="Times New Roman" w:hAnsi="Times New Roman"/>
          <w:sz w:val="22"/>
        </w:rPr>
        <w:t xml:space="preserve"> A manufacturer supplies the device. A distributor or route operator places and services it and takes a share. A tavern or a post hosts it and takes a share. A charity is named and receives what is left. No single party has custody of the whole obligation, and the party whose name is on the operation is often the party with the least control over it. Part 200 allocates each duty to a named person and § 202(e) makes the allocation non-delegable.</w:t>
      </w:r>
    </w:p>
    <w:p>
      <w:pPr>
        <w:jc w:val="both"/>
      </w:pPr>
      <w:r>
        <w:rPr>
          <w:rFonts w:ascii="Times New Roman" w:hAnsi="Times New Roman"/>
          <w:b/>
          <w:sz w:val="22"/>
        </w:rPr>
        <w:t>The charitable representation is a consumer representation.</w:t>
      </w:r>
      <w:r>
        <w:rPr>
          <w:rFonts w:ascii="Times New Roman" w:hAnsi="Times New Roman"/>
          <w:sz w:val="22"/>
        </w:rPr>
        <w:t xml:space="preserve"> Where a player is told that play supports a purpose, that statement is made to the player at the point of play and is capable of being true or false. Part 500 requires it to be substantiated. No framework the Institute reviewed requires the fraction of a player's money that reaches the purpose to be computed on gross gaming revenue, and none requires it to be shown to the player. It is the single largest undocumented gap in this category and it is stated in Appendix B with the others.</w:t>
      </w:r>
    </w:p>
    <w:p>
      <w:pPr>
        <w:jc w:val="both"/>
      </w:pPr>
      <w:r>
        <w:rPr>
          <w:rFonts w:ascii="Times New Roman" w:hAnsi="Times New Roman"/>
          <w:sz w:val="22"/>
        </w:rPr>
        <w:t>This document states requirements. Where a requirement departs from a source the Institute reviewed, or has no source, a note identifies the departure. Where a threshold is stated as a number, the number is open for comment and is listed in Appendix A.</w:t>
      </w:r>
    </w:p>
    <w:p>
      <w:pPr>
        <w:spacing w:after="40"/>
      </w:pPr>
      <w:r>
        <w:rPr>
          <w:rFonts w:ascii="Calibri" w:hAnsi="Calibri"/>
          <w:b/>
          <w:color w:val="143C46"/>
          <w:sz w:val="18"/>
        </w:rPr>
        <w:t>PART 200</w:t>
      </w:r>
    </w:p>
    <w:p>
      <w:pPr>
        <w:pStyle w:val="Heading1"/>
        <w:spacing w:before="0"/>
        <w:pBdr>
          <w:bottom w:val="single" w:sz="8" w:space="6" w:color="143C46"/>
        </w:pBdr>
      </w:pPr>
      <w:r>
        <w:rPr>
          <w:rFonts w:ascii="Times New Roman" w:hAnsi="Times New Roman"/>
          <w:b/>
          <w:color w:val="000000"/>
          <w:sz w:val="30"/>
        </w:rPr>
        <w:t>Scope, Application, and Organizational Requirements</w:t>
      </w:r>
    </w:p>
    <w:p>
      <w:pPr>
        <w:pStyle w:val="Heading2"/>
      </w:pPr>
      <w:r>
        <w:rPr>
          <w:rFonts w:ascii="Times New Roman" w:hAnsi="Times New Roman"/>
          <w:b/>
          <w:color w:val="143C46"/>
          <w:sz w:val="23"/>
        </w:rPr>
        <w:t xml:space="preserve">§ 201.  </w:t>
      </w:r>
      <w:r>
        <w:rPr>
          <w:rFonts w:ascii="Times New Roman" w:hAnsi="Times New Roman"/>
          <w:b/>
          <w:color w:val="000000"/>
          <w:sz w:val="23"/>
        </w:rPr>
        <w:t>Purpose</w:t>
      </w:r>
    </w:p>
    <w:p>
      <w:pPr>
        <w:jc w:val="both"/>
      </w:pPr>
      <w:r>
        <w:rPr>
          <w:rFonts w:ascii="Times New Roman" w:hAnsi="Times New Roman"/>
          <w:sz w:val="22"/>
        </w:rPr>
        <w:t>This standard states the minimum internal controls that apply to the offering of a covered product. A person subject to it shall meet or exceed each requirement. Nothing in it limits a requirement imposed by applicable law, and where applicable law imposes a stricter requirement, the stricter requirement governs.</w:t>
      </w:r>
    </w:p>
    <w:p>
      <w:pPr>
        <w:pStyle w:val="Heading2"/>
      </w:pPr>
      <w:r>
        <w:rPr>
          <w:rFonts w:ascii="Times New Roman" w:hAnsi="Times New Roman"/>
          <w:b/>
          <w:color w:val="143C46"/>
          <w:sz w:val="23"/>
        </w:rPr>
        <w:t xml:space="preserve">§ 202.  </w:t>
      </w:r>
      <w:r>
        <w:rPr>
          <w:rFonts w:ascii="Times New Roman" w:hAnsi="Times New Roman"/>
          <w:b/>
          <w:color w:val="000000"/>
          <w:sz w:val="23"/>
        </w:rPr>
        <w:t>Application</w:t>
      </w:r>
    </w:p>
    <w:p>
      <w:pPr>
        <w:ind w:left="432" w:hanging="432"/>
        <w:jc w:val="both"/>
      </w:pPr>
      <w:r>
        <w:rPr>
          <w:rFonts w:ascii="Times New Roman" w:hAnsi="Times New Roman"/>
          <w:b/>
          <w:sz w:val="22"/>
        </w:rPr>
        <w:t xml:space="preserve">(a)  </w:t>
      </w:r>
      <w:r>
        <w:rPr>
          <w:rFonts w:ascii="Times New Roman" w:hAnsi="Times New Roman"/>
          <w:sz w:val="22"/>
        </w:rPr>
        <w:t>This standard applies to a covered operator as determined under SBCGS-C.</w:t>
      </w:r>
    </w:p>
    <w:p>
      <w:pPr>
        <w:ind w:left="432" w:hanging="432"/>
        <w:jc w:val="both"/>
      </w:pPr>
      <w:r>
        <w:rPr>
          <w:rFonts w:ascii="Times New Roman" w:hAnsi="Times New Roman"/>
          <w:b/>
          <w:sz w:val="22"/>
        </w:rPr>
        <w:t xml:space="preserve">(b)  </w:t>
      </w:r>
      <w:r>
        <w:rPr>
          <w:rFonts w:ascii="Times New Roman" w:hAnsi="Times New Roman"/>
          <w:sz w:val="22"/>
        </w:rPr>
        <w:t>Where a covered product is offered under the authority of, in the name of, or for the benefit of a licensed organization, this standard applies to that organization as to the requirements identified in subsection (d) and to Part 500 in full.</w:t>
      </w:r>
    </w:p>
    <w:p>
      <w:pPr>
        <w:ind w:left="432" w:hanging="432"/>
        <w:jc w:val="both"/>
      </w:pPr>
      <w:r>
        <w:rPr>
          <w:rFonts w:ascii="Times New Roman" w:hAnsi="Times New Roman"/>
          <w:b/>
          <w:sz w:val="22"/>
        </w:rPr>
        <w:t xml:space="preserve">(c)  </w:t>
      </w:r>
      <w:r>
        <w:rPr>
          <w:rFonts w:ascii="Times New Roman" w:hAnsi="Times New Roman"/>
          <w:sz w:val="22"/>
        </w:rPr>
        <w:t>This standard applies to a host location as to §§ 305, 401, 402, 404, and 406.</w:t>
      </w:r>
    </w:p>
    <w:p>
      <w:pPr>
        <w:ind w:left="432" w:hanging="432"/>
        <w:jc w:val="both"/>
      </w:pPr>
      <w:r>
        <w:rPr>
          <w:rFonts w:ascii="Times New Roman" w:hAnsi="Times New Roman"/>
          <w:b/>
          <w:sz w:val="22"/>
        </w:rPr>
        <w:t xml:space="preserve">(d)  </w:t>
      </w:r>
      <w:r>
        <w:rPr>
          <w:rFonts w:ascii="Times New Roman" w:hAnsi="Times New Roman"/>
          <w:sz w:val="22"/>
        </w:rPr>
        <w:t>The following requirements are allocated as stated, and each named person shall discharge its allocated requirement directly:</w:t>
      </w:r>
    </w:p>
    <w:tbl>
      <w:tblPr>
        <w:tblStyle w:val="TableGrid"/>
        <w:tblW w:type="auto" w:w="0"/>
        <w:jc w:val="center"/>
        <w:tblLayout w:type="autofit"/>
        <w:tblLook w:firstColumn="1" w:firstRow="1" w:lastColumn="0" w:lastRow="0" w:noHBand="0" w:noVBand="1" w:val="04A0"/>
      </w:tblPr>
      <w:tblGrid>
        <w:gridCol w:w="1786"/>
        <w:gridCol w:w="1786"/>
        <w:gridCol w:w="1786"/>
        <w:gridCol w:w="1786"/>
        <w:gridCol w:w="1786"/>
      </w:tblGrid>
      <w:tr>
        <w:tc>
          <w:tcPr>
            <w:tcW w:type="dxa" w:w="1786"/>
            <w:shd w:val="clear" w:color="auto" w:fill="E8ECEE"/>
          </w:tcPr>
          <w:p>
            <w:pPr>
              <w:spacing w:after="40" w:before="40"/>
            </w:pPr>
            <w:r/>
            <w:r>
              <w:rPr>
                <w:rFonts w:ascii="Calibri" w:hAnsi="Calibri"/>
                <w:b/>
                <w:sz w:val="16"/>
              </w:rPr>
              <w:t>Requirement</w:t>
            </w:r>
          </w:p>
        </w:tc>
        <w:tc>
          <w:tcPr>
            <w:tcW w:type="dxa" w:w="1786"/>
            <w:shd w:val="clear" w:color="auto" w:fill="E8ECEE"/>
          </w:tcPr>
          <w:p>
            <w:pPr>
              <w:spacing w:after="40" w:before="40"/>
            </w:pPr>
            <w:r/>
            <w:r>
              <w:rPr>
                <w:rFonts w:ascii="Calibri" w:hAnsi="Calibri"/>
                <w:b/>
                <w:sz w:val="16"/>
              </w:rPr>
              <w:t>Covered operator</w:t>
            </w:r>
          </w:p>
        </w:tc>
        <w:tc>
          <w:tcPr>
            <w:tcW w:type="dxa" w:w="1786"/>
            <w:shd w:val="clear" w:color="auto" w:fill="E8ECEE"/>
          </w:tcPr>
          <w:p>
            <w:pPr>
              <w:spacing w:after="40" w:before="40"/>
            </w:pPr>
            <w:r/>
            <w:r>
              <w:rPr>
                <w:rFonts w:ascii="Calibri" w:hAnsi="Calibri"/>
                <w:b/>
                <w:sz w:val="16"/>
              </w:rPr>
              <w:t>Licensed organization</w:t>
            </w:r>
          </w:p>
        </w:tc>
        <w:tc>
          <w:tcPr>
            <w:tcW w:type="dxa" w:w="1786"/>
            <w:shd w:val="clear" w:color="auto" w:fill="E8ECEE"/>
          </w:tcPr>
          <w:p>
            <w:pPr>
              <w:spacing w:after="40" w:before="40"/>
            </w:pPr>
            <w:r/>
            <w:r>
              <w:rPr>
                <w:rFonts w:ascii="Calibri" w:hAnsi="Calibri"/>
                <w:b/>
                <w:sz w:val="16"/>
              </w:rPr>
              <w:t>Host location</w:t>
            </w:r>
          </w:p>
        </w:tc>
        <w:tc>
          <w:tcPr>
            <w:tcW w:type="dxa" w:w="1786"/>
            <w:shd w:val="clear" w:color="auto" w:fill="E8ECEE"/>
          </w:tcPr>
          <w:p>
            <w:pPr>
              <w:spacing w:after="40" w:before="40"/>
            </w:pPr>
            <w:r/>
            <w:r>
              <w:rPr>
                <w:rFonts w:ascii="Calibri" w:hAnsi="Calibri"/>
                <w:b/>
                <w:sz w:val="16"/>
              </w:rPr>
              <w:t>Manufacturer</w:t>
            </w:r>
          </w:p>
        </w:tc>
      </w:tr>
      <w:tr>
        <w:tc>
          <w:tcPr>
            <w:tcW w:type="dxa" w:w="1786"/>
          </w:tcPr>
          <w:p>
            <w:pPr>
              <w:spacing w:after="40" w:before="40"/>
            </w:pPr>
            <w:r/>
            <w:r>
              <w:rPr>
                <w:rFonts w:ascii="Times New Roman" w:hAnsi="Times New Roman"/>
                <w:sz w:val="17"/>
              </w:rPr>
              <w:t>Classification record, SBCGS-C § 108</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On request</w:t>
            </w:r>
          </w:p>
        </w:tc>
        <w:tc>
          <w:tcPr>
            <w:tcW w:type="dxa" w:w="1786"/>
          </w:tcPr>
          <w:p>
            <w:pPr>
              <w:spacing w:after="40" w:before="40"/>
            </w:pPr>
            <w:r/>
            <w:r>
              <w:rPr>
                <w:rFonts w:ascii="Times New Roman" w:hAnsi="Times New Roman"/>
                <w:sz w:val="17"/>
              </w:rPr>
              <w:t>No</w:t>
            </w:r>
          </w:p>
        </w:tc>
        <w:tc>
          <w:tcPr>
            <w:tcW w:type="dxa" w:w="1786"/>
          </w:tcPr>
          <w:p>
            <w:pPr>
              <w:spacing w:after="40" w:before="40"/>
            </w:pPr>
            <w:r/>
            <w:r>
              <w:rPr>
                <w:rFonts w:ascii="Times New Roman" w:hAnsi="Times New Roman"/>
                <w:sz w:val="17"/>
              </w:rPr>
              <w:t>Supporting data</w:t>
            </w:r>
          </w:p>
        </w:tc>
      </w:tr>
      <w:tr>
        <w:tc>
          <w:tcPr>
            <w:tcW w:type="dxa" w:w="1786"/>
          </w:tcPr>
          <w:p>
            <w:pPr>
              <w:spacing w:after="40" w:before="40"/>
            </w:pPr>
            <w:r/>
            <w:r>
              <w:rPr>
                <w:rFonts w:ascii="Times New Roman" w:hAnsi="Times New Roman"/>
                <w:sz w:val="17"/>
              </w:rPr>
              <w:t>Exclusion program, § 301</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Enforcement at premises</w:t>
            </w:r>
          </w:p>
        </w:tc>
        <w:tc>
          <w:tcPr>
            <w:tcW w:type="dxa" w:w="1786"/>
          </w:tcPr>
          <w:p>
            <w:pPr>
              <w:spacing w:after="40" w:before="40"/>
            </w:pPr>
            <w:r/>
            <w:r>
              <w:rPr>
                <w:rFonts w:ascii="Times New Roman" w:hAnsi="Times New Roman"/>
                <w:sz w:val="17"/>
              </w:rPr>
              <w:t>Device capability</w:t>
            </w:r>
          </w:p>
        </w:tc>
      </w:tr>
      <w:tr>
        <w:tc>
          <w:tcPr>
            <w:tcW w:type="dxa" w:w="1786"/>
          </w:tcPr>
          <w:p>
            <w:pPr>
              <w:spacing w:after="40" w:before="40"/>
            </w:pPr>
            <w:r/>
            <w:r>
              <w:rPr>
                <w:rFonts w:ascii="Times New Roman" w:hAnsi="Times New Roman"/>
                <w:sz w:val="17"/>
              </w:rPr>
              <w:t>Limits, § 302</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No</w:t>
            </w:r>
          </w:p>
        </w:tc>
        <w:tc>
          <w:tcPr>
            <w:tcW w:type="dxa" w:w="1786"/>
          </w:tcPr>
          <w:p>
            <w:pPr>
              <w:spacing w:after="40" w:before="40"/>
            </w:pPr>
            <w:r/>
            <w:r>
              <w:rPr>
                <w:rFonts w:ascii="Times New Roman" w:hAnsi="Times New Roman"/>
                <w:sz w:val="17"/>
              </w:rPr>
              <w:t>Enforcement at premises</w:t>
            </w:r>
          </w:p>
        </w:tc>
        <w:tc>
          <w:tcPr>
            <w:tcW w:type="dxa" w:w="1786"/>
          </w:tcPr>
          <w:p>
            <w:pPr>
              <w:spacing w:after="40" w:before="40"/>
            </w:pPr>
            <w:r/>
            <w:r>
              <w:rPr>
                <w:rFonts w:ascii="Times New Roman" w:hAnsi="Times New Roman"/>
                <w:sz w:val="17"/>
              </w:rPr>
              <w:t>Device capability</w:t>
            </w:r>
          </w:p>
        </w:tc>
      </w:tr>
      <w:tr>
        <w:tc>
          <w:tcPr>
            <w:tcW w:type="dxa" w:w="1786"/>
          </w:tcPr>
          <w:p>
            <w:pPr>
              <w:spacing w:after="40" w:before="40"/>
            </w:pPr>
            <w:r/>
            <w:r>
              <w:rPr>
                <w:rFonts w:ascii="Times New Roman" w:hAnsi="Times New Roman"/>
                <w:sz w:val="17"/>
              </w:rPr>
              <w:t>Disclosure, § 304</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 as to charitable content</w:t>
            </w:r>
          </w:p>
        </w:tc>
        <w:tc>
          <w:tcPr>
            <w:tcW w:type="dxa" w:w="1786"/>
          </w:tcPr>
          <w:p>
            <w:pPr>
              <w:spacing w:after="40" w:before="40"/>
            </w:pPr>
            <w:r/>
            <w:r>
              <w:rPr>
                <w:rFonts w:ascii="Times New Roman" w:hAnsi="Times New Roman"/>
                <w:sz w:val="17"/>
              </w:rPr>
              <w:t>Signage</w:t>
            </w:r>
          </w:p>
        </w:tc>
        <w:tc>
          <w:tcPr>
            <w:tcW w:type="dxa" w:w="1786"/>
          </w:tcPr>
          <w:p>
            <w:pPr>
              <w:spacing w:after="40" w:before="40"/>
            </w:pPr>
            <w:r/>
            <w:r>
              <w:rPr>
                <w:rFonts w:ascii="Times New Roman" w:hAnsi="Times New Roman"/>
                <w:sz w:val="17"/>
              </w:rPr>
              <w:t>Device display</w:t>
            </w:r>
          </w:p>
        </w:tc>
      </w:tr>
      <w:tr>
        <w:tc>
          <w:tcPr>
            <w:tcW w:type="dxa" w:w="1786"/>
          </w:tcPr>
          <w:p>
            <w:pPr>
              <w:spacing w:after="40" w:before="40"/>
            </w:pPr>
            <w:r/>
            <w:r>
              <w:rPr>
                <w:rFonts w:ascii="Times New Roman" w:hAnsi="Times New Roman"/>
                <w:sz w:val="17"/>
              </w:rPr>
              <w:t>Problem gambling program, § 305</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Signage and training</w:t>
            </w:r>
          </w:p>
        </w:tc>
        <w:tc>
          <w:tcPr>
            <w:tcW w:type="dxa" w:w="1786"/>
          </w:tcPr>
          <w:p>
            <w:pPr>
              <w:spacing w:after="40" w:before="40"/>
            </w:pPr>
            <w:r/>
            <w:r>
              <w:rPr>
                <w:rFonts w:ascii="Times New Roman" w:hAnsi="Times New Roman"/>
                <w:sz w:val="17"/>
              </w:rPr>
              <w:t>Device display</w:t>
            </w:r>
          </w:p>
        </w:tc>
      </w:tr>
      <w:tr>
        <w:tc>
          <w:tcPr>
            <w:tcW w:type="dxa" w:w="1786"/>
          </w:tcPr>
          <w:p>
            <w:pPr>
              <w:spacing w:after="40" w:before="40"/>
            </w:pPr>
            <w:r/>
            <w:r>
              <w:rPr>
                <w:rFonts w:ascii="Times New Roman" w:hAnsi="Times New Roman"/>
                <w:sz w:val="17"/>
              </w:rPr>
              <w:t>Age and identity, § 401</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Device capability</w:t>
            </w:r>
          </w:p>
        </w:tc>
      </w:tr>
      <w:tr>
        <w:tc>
          <w:tcPr>
            <w:tcW w:type="dxa" w:w="1786"/>
          </w:tcPr>
          <w:p>
            <w:pPr>
              <w:spacing w:after="40" w:before="40"/>
            </w:pPr>
            <w:r/>
            <w:r>
              <w:rPr>
                <w:rFonts w:ascii="Times New Roman" w:hAnsi="Times New Roman"/>
                <w:sz w:val="17"/>
              </w:rPr>
              <w:t>Placement, § 402</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No</w:t>
            </w:r>
          </w:p>
        </w:tc>
      </w:tr>
      <w:tr>
        <w:tc>
          <w:tcPr>
            <w:tcW w:type="dxa" w:w="1786"/>
          </w:tcPr>
          <w:p>
            <w:pPr>
              <w:spacing w:after="40" w:before="40"/>
            </w:pPr>
            <w:r/>
            <w:r>
              <w:rPr>
                <w:rFonts w:ascii="Times New Roman" w:hAnsi="Times New Roman"/>
                <w:sz w:val="17"/>
              </w:rPr>
              <w:t>Cash and redemption, § 404</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Device capability</w:t>
            </w:r>
          </w:p>
        </w:tc>
      </w:tr>
      <w:tr>
        <w:tc>
          <w:tcPr>
            <w:tcW w:type="dxa" w:w="1786"/>
          </w:tcPr>
          <w:p>
            <w:pPr>
              <w:spacing w:after="40" w:before="40"/>
            </w:pPr>
            <w:r/>
            <w:r>
              <w:rPr>
                <w:rFonts w:ascii="Times New Roman" w:hAnsi="Times New Roman"/>
                <w:sz w:val="17"/>
              </w:rPr>
              <w:t>Charitable proceeds, Part 500</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 as to its share</w:t>
            </w:r>
          </w:p>
        </w:tc>
        <w:tc>
          <w:tcPr>
            <w:tcW w:type="dxa" w:w="1786"/>
          </w:tcPr>
          <w:p>
            <w:pPr>
              <w:spacing w:after="40" w:before="40"/>
            </w:pPr>
            <w:r/>
            <w:r>
              <w:rPr>
                <w:rFonts w:ascii="Times New Roman" w:hAnsi="Times New Roman"/>
                <w:sz w:val="17"/>
              </w:rPr>
              <w:t>No</w:t>
            </w:r>
          </w:p>
        </w:tc>
      </w:tr>
      <w:tr>
        <w:tc>
          <w:tcPr>
            <w:tcW w:type="dxa" w:w="1786"/>
          </w:tcPr>
          <w:p>
            <w:pPr>
              <w:spacing w:after="40" w:before="40"/>
            </w:pPr>
            <w:r/>
            <w:r>
              <w:rPr>
                <w:rFonts w:ascii="Times New Roman" w:hAnsi="Times New Roman"/>
                <w:sz w:val="17"/>
              </w:rPr>
              <w:t>Records and audit, Part 600</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w:t>
            </w:r>
          </w:p>
        </w:tc>
        <w:tc>
          <w:tcPr>
            <w:tcW w:type="dxa" w:w="1786"/>
          </w:tcPr>
          <w:p>
            <w:pPr>
              <w:spacing w:after="40" w:before="40"/>
            </w:pPr>
            <w:r/>
            <w:r>
              <w:rPr>
                <w:rFonts w:ascii="Times New Roman" w:hAnsi="Times New Roman"/>
                <w:sz w:val="17"/>
              </w:rPr>
              <w:t>Yes, as to its share</w:t>
            </w:r>
          </w:p>
        </w:tc>
        <w:tc>
          <w:tcPr>
            <w:tcW w:type="dxa" w:w="1786"/>
          </w:tcPr>
          <w:p>
            <w:pPr>
              <w:spacing w:after="40" w:before="40"/>
            </w:pPr>
            <w:r/>
            <w:r>
              <w:rPr>
                <w:rFonts w:ascii="Times New Roman" w:hAnsi="Times New Roman"/>
                <w:sz w:val="17"/>
              </w:rPr>
              <w:t>Yes, as to devices</w:t>
            </w:r>
          </w:p>
        </w:tc>
      </w:tr>
    </w:tbl>
    <w:p>
      <w:pPr>
        <w:spacing w:after="80"/>
      </w:pPr>
    </w:p>
    <w:p>
      <w:pPr>
        <w:ind w:left="432" w:hanging="432"/>
        <w:jc w:val="both"/>
      </w:pPr>
      <w:r>
        <w:rPr>
          <w:rFonts w:ascii="Times New Roman" w:hAnsi="Times New Roman"/>
          <w:b/>
          <w:sz w:val="22"/>
        </w:rPr>
        <w:t xml:space="preserve">(e)  </w:t>
      </w:r>
      <w:r>
        <w:rPr>
          <w:rFonts w:ascii="Times New Roman" w:hAnsi="Times New Roman"/>
          <w:sz w:val="22"/>
        </w:rPr>
        <w:t>A duty allocated by subsection (d) is not discharged by contract with another person. A covered operator or licensed organization may engage another person to perform work in support of a duty, and remains responsible for the duty.</w:t>
      </w:r>
    </w:p>
    <w:p>
      <w:pPr>
        <w:ind w:left="432" w:hanging="432"/>
        <w:jc w:val="both"/>
      </w:pPr>
      <w:r>
        <w:rPr>
          <w:rFonts w:ascii="Times New Roman" w:hAnsi="Times New Roman"/>
          <w:b/>
          <w:sz w:val="22"/>
        </w:rPr>
        <w:t xml:space="preserve">(f)  </w:t>
      </w:r>
      <w:r>
        <w:rPr>
          <w:rFonts w:ascii="Times New Roman" w:hAnsi="Times New Roman"/>
          <w:sz w:val="22"/>
        </w:rPr>
        <w:t>Where two or more persons are covered operators as to the same covered product, each is responsible for each requirement allocated to a covered operator, and compliance by one discharges the obligation of the others as to that requirement only where the compliance is documented and available to each.</w:t>
      </w:r>
    </w:p>
    <w:p>
      <w:pPr>
        <w:pStyle w:val="Heading2"/>
      </w:pPr>
      <w:r>
        <w:rPr>
          <w:rFonts w:ascii="Times New Roman" w:hAnsi="Times New Roman"/>
          <w:b/>
          <w:color w:val="143C46"/>
          <w:sz w:val="23"/>
        </w:rPr>
        <w:t xml:space="preserve">§ 203.  </w:t>
      </w:r>
      <w:r>
        <w:rPr>
          <w:rFonts w:ascii="Times New Roman" w:hAnsi="Times New Roman"/>
          <w:b/>
          <w:color w:val="000000"/>
          <w:sz w:val="23"/>
        </w:rPr>
        <w:t>Definitions</w:t>
      </w:r>
    </w:p>
    <w:p>
      <w:pPr>
        <w:jc w:val="both"/>
      </w:pPr>
      <w:r>
        <w:rPr>
          <w:rFonts w:ascii="Times New Roman" w:hAnsi="Times New Roman"/>
          <w:sz w:val="22"/>
        </w:rPr>
        <w:t>Terms defined in SBCGS-C have the same meaning here. In addition:</w:t>
      </w:r>
    </w:p>
    <w:p>
      <w:pPr>
        <w:jc w:val="both"/>
      </w:pPr>
      <w:r>
        <w:rPr>
          <w:rFonts w:ascii="Times New Roman" w:hAnsi="Times New Roman"/>
          <w:b/>
          <w:sz w:val="22"/>
        </w:rPr>
        <w:t>Assessor</w:t>
      </w:r>
      <w:r>
        <w:rPr>
          <w:rFonts w:ascii="Times New Roman" w:hAnsi="Times New Roman"/>
          <w:sz w:val="22"/>
        </w:rPr>
        <w:t xml:space="preserve"> means a person meeting § 701 engaged to assess conformity with this standard.</w:t>
      </w:r>
    </w:p>
    <w:p>
      <w:pPr>
        <w:jc w:val="both"/>
      </w:pPr>
      <w:r>
        <w:rPr>
          <w:rFonts w:ascii="Times New Roman" w:hAnsi="Times New Roman"/>
          <w:b/>
          <w:sz w:val="22"/>
        </w:rPr>
        <w:t>Compliance officer</w:t>
      </w:r>
      <w:r>
        <w:rPr>
          <w:rFonts w:ascii="Times New Roman" w:hAnsi="Times New Roman"/>
          <w:sz w:val="22"/>
        </w:rPr>
        <w:t xml:space="preserve"> means the individual designated under § 204(b).</w:t>
      </w:r>
    </w:p>
    <w:p>
      <w:pPr>
        <w:jc w:val="both"/>
      </w:pPr>
      <w:r>
        <w:rPr>
          <w:rFonts w:ascii="Times New Roman" w:hAnsi="Times New Roman"/>
          <w:b/>
          <w:sz w:val="22"/>
        </w:rPr>
        <w:t>Monitoring system</w:t>
      </w:r>
      <w:r>
        <w:rPr>
          <w:rFonts w:ascii="Times New Roman" w:hAnsi="Times New Roman"/>
          <w:sz w:val="22"/>
        </w:rPr>
        <w:t xml:space="preserve"> means the central system to which covered devices communicate under SBCGS-T Part 850.</w:t>
      </w:r>
    </w:p>
    <w:p>
      <w:pPr>
        <w:jc w:val="both"/>
      </w:pPr>
      <w:r>
        <w:rPr>
          <w:rFonts w:ascii="Times New Roman" w:hAnsi="Times New Roman"/>
          <w:b/>
          <w:sz w:val="22"/>
        </w:rPr>
        <w:t>Net position</w:t>
      </w:r>
      <w:r>
        <w:rPr>
          <w:rFonts w:ascii="Times New Roman" w:hAnsi="Times New Roman"/>
          <w:sz w:val="22"/>
        </w:rPr>
        <w:t xml:space="preserve"> means, for a player and a session, the amount committed less the value of awards received.</w:t>
      </w:r>
    </w:p>
    <w:p>
      <w:pPr>
        <w:jc w:val="both"/>
      </w:pPr>
      <w:r>
        <w:rPr>
          <w:rFonts w:ascii="Times New Roman" w:hAnsi="Times New Roman"/>
          <w:b/>
          <w:sz w:val="22"/>
        </w:rPr>
        <w:t>Player account</w:t>
      </w:r>
      <w:r>
        <w:rPr>
          <w:rFonts w:ascii="Times New Roman" w:hAnsi="Times New Roman"/>
          <w:sz w:val="22"/>
        </w:rPr>
        <w:t xml:space="preserve"> means a record maintained by a covered operator that identifies a player and to which the player's play, limits, and exclusion status attach.</w:t>
      </w:r>
    </w:p>
    <w:p>
      <w:pPr>
        <w:jc w:val="both"/>
      </w:pPr>
      <w:r>
        <w:rPr>
          <w:rFonts w:ascii="Times New Roman" w:hAnsi="Times New Roman"/>
          <w:b/>
          <w:sz w:val="22"/>
        </w:rPr>
        <w:t>Session</w:t>
      </w:r>
      <w:r>
        <w:rPr>
          <w:rFonts w:ascii="Times New Roman" w:hAnsi="Times New Roman"/>
          <w:sz w:val="22"/>
        </w:rPr>
        <w:t xml:space="preserve"> means a continuous period of play at a covered device, beginning when a player commits consideration and ending when the player redeems the balance or when the device has been inactive for three minutes, whichever occurs first.</w:t>
      </w:r>
    </w:p>
    <w:p>
      <w:pPr>
        <w:spacing w:before="240"/>
        <w:pBdr>
          <w:top w:val="single" w:sz="4" w:space="6" w:color="8A8A8A"/>
        </w:pBdr>
      </w:pPr>
      <w:r>
        <w:rPr>
          <w:rFonts w:ascii="Times New Roman" w:hAnsi="Times New Roman"/>
          <w:i/>
          <w:color w:val="555555"/>
          <w:sz w:val="17"/>
        </w:rPr>
        <w:t>Basis: Pa. H.B. 2557, § 5102 (2026), definition of session.</w:t>
      </w:r>
    </w:p>
    <w:p>
      <w:pPr>
        <w:jc w:val="both"/>
      </w:pPr>
      <w:r>
        <w:rPr>
          <w:rFonts w:ascii="Times New Roman" w:hAnsi="Times New Roman"/>
          <w:b/>
          <w:sz w:val="22"/>
        </w:rPr>
        <w:t>Written internal controls</w:t>
      </w:r>
      <w:r>
        <w:rPr>
          <w:rFonts w:ascii="Times New Roman" w:hAnsi="Times New Roman"/>
          <w:sz w:val="22"/>
        </w:rPr>
        <w:t xml:space="preserve"> means the document required by § 204(c).</w:t>
      </w:r>
    </w:p>
    <w:p>
      <w:pPr>
        <w:pStyle w:val="Heading2"/>
      </w:pPr>
      <w:r>
        <w:rPr>
          <w:rFonts w:ascii="Times New Roman" w:hAnsi="Times New Roman"/>
          <w:b/>
          <w:color w:val="143C46"/>
          <w:sz w:val="23"/>
        </w:rPr>
        <w:t xml:space="preserve">§ 204.  </w:t>
      </w:r>
      <w:r>
        <w:rPr>
          <w:rFonts w:ascii="Times New Roman" w:hAnsi="Times New Roman"/>
          <w:b/>
          <w:color w:val="000000"/>
          <w:sz w:val="23"/>
        </w:rPr>
        <w:t>Organizational requirements</w:t>
      </w:r>
    </w:p>
    <w:p>
      <w:pPr>
        <w:ind w:left="432" w:hanging="432"/>
        <w:jc w:val="both"/>
      </w:pPr>
      <w:r>
        <w:rPr>
          <w:rFonts w:ascii="Times New Roman" w:hAnsi="Times New Roman"/>
          <w:b/>
          <w:sz w:val="22"/>
        </w:rPr>
        <w:t xml:space="preserve">(a)  </w:t>
      </w:r>
      <w:r>
        <w:rPr>
          <w:rFonts w:ascii="Times New Roman" w:hAnsi="Times New Roman"/>
          <w:sz w:val="22"/>
        </w:rPr>
        <w:t>A covered operator and a licensed organization shall each maintain an organizational structure in which responsibility for compliance with this standard is assigned to identified individuals and is separated from responsibility for revenue.</w:t>
      </w:r>
    </w:p>
    <w:p>
      <w:pPr>
        <w:ind w:left="432" w:hanging="432"/>
        <w:jc w:val="both"/>
      </w:pPr>
      <w:r>
        <w:rPr>
          <w:rFonts w:ascii="Times New Roman" w:hAnsi="Times New Roman"/>
          <w:b/>
          <w:sz w:val="22"/>
        </w:rPr>
        <w:t xml:space="preserve">(b)  </w:t>
      </w:r>
      <w:r>
        <w:rPr>
          <w:rFonts w:ascii="Times New Roman" w:hAnsi="Times New Roman"/>
          <w:sz w:val="22"/>
        </w:rPr>
        <w:t>Each shall designate a compliance officer, who shall:</w:t>
      </w:r>
    </w:p>
    <w:p>
      <w:pPr>
        <w:ind w:left="864" w:hanging="432"/>
        <w:jc w:val="both"/>
      </w:pPr>
      <w:r>
        <w:rPr>
          <w:rFonts w:ascii="Times New Roman" w:hAnsi="Times New Roman"/>
          <w:b/>
          <w:sz w:val="22"/>
        </w:rPr>
        <w:t xml:space="preserve">(1)  </w:t>
      </w:r>
      <w:r>
        <w:rPr>
          <w:rFonts w:ascii="Times New Roman" w:hAnsi="Times New Roman"/>
          <w:sz w:val="22"/>
        </w:rPr>
        <w:t>be an individual, named in the written internal controls;</w:t>
      </w:r>
    </w:p>
    <w:p>
      <w:pPr>
        <w:ind w:left="864" w:hanging="432"/>
        <w:jc w:val="both"/>
      </w:pPr>
      <w:r>
        <w:rPr>
          <w:rFonts w:ascii="Times New Roman" w:hAnsi="Times New Roman"/>
          <w:b/>
          <w:sz w:val="22"/>
        </w:rPr>
        <w:t xml:space="preserve">(2)  </w:t>
      </w:r>
      <w:r>
        <w:rPr>
          <w:rFonts w:ascii="Times New Roman" w:hAnsi="Times New Roman"/>
          <w:sz w:val="22"/>
        </w:rPr>
        <w:t>have authority to suspend the offering of a covered product, to disable a covered device, and to withdraw a covered device from a host location;</w:t>
      </w:r>
    </w:p>
    <w:p>
      <w:pPr>
        <w:ind w:left="864" w:hanging="432"/>
        <w:jc w:val="both"/>
      </w:pPr>
      <w:r>
        <w:rPr>
          <w:rFonts w:ascii="Times New Roman" w:hAnsi="Times New Roman"/>
          <w:b/>
          <w:sz w:val="22"/>
        </w:rPr>
        <w:t xml:space="preserve">(3)  </w:t>
      </w:r>
      <w:r>
        <w:rPr>
          <w:rFonts w:ascii="Times New Roman" w:hAnsi="Times New Roman"/>
          <w:sz w:val="22"/>
        </w:rPr>
        <w:t>report to the governing body of the person, or to an individual who does not hold revenue responsibility for covered products; and</w:t>
      </w:r>
    </w:p>
    <w:p>
      <w:pPr>
        <w:ind w:left="864" w:hanging="432"/>
        <w:jc w:val="both"/>
      </w:pPr>
      <w:r>
        <w:rPr>
          <w:rFonts w:ascii="Times New Roman" w:hAnsi="Times New Roman"/>
          <w:b/>
          <w:sz w:val="22"/>
        </w:rPr>
        <w:t xml:space="preserve">(4)  </w:t>
      </w:r>
      <w:r>
        <w:rPr>
          <w:rFonts w:ascii="Times New Roman" w:hAnsi="Times New Roman"/>
          <w:sz w:val="22"/>
        </w:rPr>
        <w:t>not be an individual who receives compensation determined by reference to gross gaming revenue from covered products.</w:t>
      </w:r>
    </w:p>
    <w:p>
      <w:pPr>
        <w:ind w:left="432" w:hanging="432"/>
        <w:jc w:val="both"/>
      </w:pPr>
      <w:r>
        <w:rPr>
          <w:rFonts w:ascii="Times New Roman" w:hAnsi="Times New Roman"/>
          <w:b/>
          <w:sz w:val="22"/>
        </w:rPr>
        <w:t xml:space="preserve">(c)  </w:t>
      </w:r>
      <w:r>
        <w:rPr>
          <w:rFonts w:ascii="Times New Roman" w:hAnsi="Times New Roman"/>
          <w:sz w:val="22"/>
        </w:rPr>
        <w:t>Each shall maintain written internal controls stating how it complies with each section of this standard applicable to it. The written internal controls shall identify the individual responsible for each control, the frequency at which each control operates, and the record each control produces. They shall be reviewed at least annually and upon any change to a covered product, a covered device, an allocation agreement, or the law of a jurisdiction in which it operates.</w:t>
      </w:r>
    </w:p>
    <w:p>
      <w:pPr>
        <w:ind w:left="432" w:hanging="432"/>
        <w:jc w:val="both"/>
      </w:pPr>
      <w:r>
        <w:rPr>
          <w:rFonts w:ascii="Times New Roman" w:hAnsi="Times New Roman"/>
          <w:b/>
          <w:sz w:val="22"/>
        </w:rPr>
        <w:t xml:space="preserve">(d)  </w:t>
      </w:r>
      <w:r>
        <w:rPr>
          <w:rFonts w:ascii="Times New Roman" w:hAnsi="Times New Roman"/>
          <w:sz w:val="22"/>
        </w:rPr>
        <w:t>A covered operator shall provide the written internal controls to each licensed organization and each host location with which it deals, and shall provide to each of them the portion of the controls that the recipient is required to perform.</w:t>
      </w:r>
    </w:p>
    <w:p>
      <w:pPr>
        <w:ind w:left="432" w:hanging="432"/>
        <w:jc w:val="both"/>
      </w:pPr>
      <w:r>
        <w:rPr>
          <w:rFonts w:ascii="Times New Roman" w:hAnsi="Times New Roman"/>
          <w:b/>
          <w:sz w:val="22"/>
        </w:rPr>
        <w:t xml:space="preserve">(e)  </w:t>
      </w:r>
      <w:r>
        <w:rPr>
          <w:rFonts w:ascii="Times New Roman" w:hAnsi="Times New Roman"/>
          <w:sz w:val="22"/>
        </w:rPr>
        <w:t>Each shall train each individual whose duties bear on a requirement of this standard before that individual assumes those duties and at least annually thereafter, and shall retain a record of the training.</w:t>
      </w:r>
    </w:p>
    <w:p>
      <w:pPr>
        <w:pStyle w:val="Heading2"/>
      </w:pPr>
      <w:r>
        <w:rPr>
          <w:rFonts w:ascii="Times New Roman" w:hAnsi="Times New Roman"/>
          <w:b/>
          <w:color w:val="143C46"/>
          <w:sz w:val="23"/>
        </w:rPr>
        <w:t xml:space="preserve">§ 205.  </w:t>
      </w:r>
      <w:r>
        <w:rPr>
          <w:rFonts w:ascii="Times New Roman" w:hAnsi="Times New Roman"/>
          <w:b/>
          <w:color w:val="000000"/>
          <w:sz w:val="23"/>
        </w:rPr>
        <w:t>Fitness</w:t>
      </w:r>
    </w:p>
    <w:p>
      <w:pPr>
        <w:ind w:left="432" w:hanging="432"/>
        <w:jc w:val="both"/>
      </w:pPr>
      <w:r>
        <w:rPr>
          <w:rFonts w:ascii="Times New Roman" w:hAnsi="Times New Roman"/>
          <w:b/>
          <w:sz w:val="22"/>
        </w:rPr>
        <w:t xml:space="preserve">(a)  </w:t>
      </w:r>
      <w:r>
        <w:rPr>
          <w:rFonts w:ascii="Times New Roman" w:hAnsi="Times New Roman"/>
          <w:sz w:val="22"/>
        </w:rPr>
        <w:t>A covered operator shall not knowingly permit an individual to hold a position of responsibility over a covered product, and a licensed organization shall not knowingly engage a covered operator, where the individual or the operator:</w:t>
      </w:r>
    </w:p>
    <w:p>
      <w:pPr>
        <w:ind w:left="864" w:hanging="432"/>
        <w:jc w:val="both"/>
      </w:pPr>
      <w:r>
        <w:rPr>
          <w:rFonts w:ascii="Times New Roman" w:hAnsi="Times New Roman"/>
          <w:b/>
          <w:sz w:val="22"/>
        </w:rPr>
        <w:t xml:space="preserve">(1)  </w:t>
      </w:r>
      <w:r>
        <w:rPr>
          <w:rFonts w:ascii="Times New Roman" w:hAnsi="Times New Roman"/>
          <w:sz w:val="22"/>
        </w:rPr>
        <w:t>has been convicted of an offense involving gambling, fraud, theft, bribery, money laundering, or the offering of a gaming device without required authorization, within the preceding ten years;</w:t>
      </w:r>
    </w:p>
    <w:p>
      <w:pPr>
        <w:ind w:left="864" w:hanging="432"/>
        <w:jc w:val="both"/>
      </w:pPr>
      <w:r>
        <w:rPr>
          <w:rFonts w:ascii="Times New Roman" w:hAnsi="Times New Roman"/>
          <w:b/>
          <w:sz w:val="22"/>
        </w:rPr>
        <w:t xml:space="preserve">(2)  </w:t>
      </w:r>
      <w:r>
        <w:rPr>
          <w:rFonts w:ascii="Times New Roman" w:hAnsi="Times New Roman"/>
          <w:sz w:val="22"/>
        </w:rPr>
        <w:t>has had a gaming licence, permit, or registration revoked or denied for cause in any jurisdiction within the preceding ten years; or</w:t>
      </w:r>
    </w:p>
    <w:p>
      <w:pPr>
        <w:ind w:left="864" w:hanging="432"/>
        <w:jc w:val="both"/>
      </w:pPr>
      <w:r>
        <w:rPr>
          <w:rFonts w:ascii="Times New Roman" w:hAnsi="Times New Roman"/>
          <w:b/>
          <w:sz w:val="22"/>
        </w:rPr>
        <w:t xml:space="preserve">(3)  </w:t>
      </w:r>
      <w:r>
        <w:rPr>
          <w:rFonts w:ascii="Times New Roman" w:hAnsi="Times New Roman"/>
          <w:sz w:val="22"/>
        </w:rPr>
        <w:t>is a person whose participation would cause the covered operator or the licensed organization to be in breach of applicable law.</w:t>
      </w:r>
    </w:p>
    <w:p>
      <w:pPr>
        <w:ind w:left="432" w:hanging="432"/>
        <w:jc w:val="both"/>
      </w:pPr>
      <w:r>
        <w:rPr>
          <w:rFonts w:ascii="Times New Roman" w:hAnsi="Times New Roman"/>
          <w:b/>
          <w:sz w:val="22"/>
        </w:rPr>
        <w:t xml:space="preserve">(b)  </w:t>
      </w:r>
      <w:r>
        <w:rPr>
          <w:rFonts w:ascii="Times New Roman" w:hAnsi="Times New Roman"/>
          <w:sz w:val="22"/>
        </w:rPr>
        <w:t>A covered operator shall obtain and retain a background check for each individual described in subsection (a) before that individual assumes duties, and shall repeat it at intervals not exceeding three years.</w:t>
      </w:r>
    </w:p>
    <w:p>
      <w:pPr>
        <w:ind w:left="432" w:hanging="432"/>
        <w:jc w:val="both"/>
      </w:pPr>
      <w:r>
        <w:rPr>
          <w:rFonts w:ascii="Times New Roman" w:hAnsi="Times New Roman"/>
          <w:b/>
          <w:sz w:val="22"/>
        </w:rPr>
        <w:t xml:space="preserve">(c)  </w:t>
      </w:r>
      <w:r>
        <w:rPr>
          <w:rFonts w:ascii="Times New Roman" w:hAnsi="Times New Roman"/>
          <w:sz w:val="22"/>
        </w:rPr>
        <w:t>A licensed organization shall obtain from each covered operator with which it deals a written statement identifying every individual holding a beneficial interest of ten percent or more in the operator, and shall retain the statement.</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Subsection (c) exists because the licensed organization is frequently a small volunteer body that has no practical means of knowing who is behind the route operator whose name appears on its allocation agreement. A written statement it can retain and produce is the minimum that makes the relationship auditable.</w:t>
      </w:r>
    </w:p>
    <w:p>
      <w:pPr>
        <w:pStyle w:val="Heading2"/>
      </w:pPr>
      <w:r>
        <w:rPr>
          <w:rFonts w:ascii="Times New Roman" w:hAnsi="Times New Roman"/>
          <w:b/>
          <w:color w:val="143C46"/>
          <w:sz w:val="23"/>
        </w:rPr>
        <w:t xml:space="preserve">§ 206.  </w:t>
      </w:r>
      <w:r>
        <w:rPr>
          <w:rFonts w:ascii="Times New Roman" w:hAnsi="Times New Roman"/>
          <w:b/>
          <w:color w:val="000000"/>
          <w:sz w:val="23"/>
        </w:rPr>
        <w:t>Protection of funds</w:t>
      </w:r>
    </w:p>
    <w:p>
      <w:pPr>
        <w:ind w:left="432" w:hanging="432"/>
        <w:jc w:val="both"/>
      </w:pPr>
      <w:r>
        <w:rPr>
          <w:rFonts w:ascii="Times New Roman" w:hAnsi="Times New Roman"/>
          <w:b/>
          <w:sz w:val="22"/>
        </w:rPr>
        <w:t xml:space="preserve">(a)  </w:t>
      </w:r>
      <w:r>
        <w:rPr>
          <w:rFonts w:ascii="Times New Roman" w:hAnsi="Times New Roman"/>
          <w:sz w:val="22"/>
        </w:rPr>
        <w:t>A covered operator shall hold funds representing unredeemed player balances, unpaid awards, and amounts allocated to a beneficiary and not yet disbursed, separately from its operating funds, in an account maintained at a federally insured depository institution.</w:t>
      </w:r>
    </w:p>
    <w:p>
      <w:pPr>
        <w:ind w:left="432" w:hanging="432"/>
        <w:jc w:val="both"/>
      </w:pPr>
      <w:r>
        <w:rPr>
          <w:rFonts w:ascii="Times New Roman" w:hAnsi="Times New Roman"/>
          <w:b/>
          <w:sz w:val="22"/>
        </w:rPr>
        <w:t xml:space="preserve">(b)  </w:t>
      </w:r>
      <w:r>
        <w:rPr>
          <w:rFonts w:ascii="Times New Roman" w:hAnsi="Times New Roman"/>
          <w:sz w:val="22"/>
        </w:rPr>
        <w:t>The balance in the account required by subsection (a) shall at all times equal or exceed the sum of unredeemed player balances, awards accrued and unpaid, and amounts allocated to a beneficiary and not yet disbursed. The covered operator shall reconcile the account not less than weekly and shall retain the reconciliation.</w:t>
      </w:r>
    </w:p>
    <w:p>
      <w:pPr>
        <w:ind w:left="432" w:hanging="432"/>
        <w:jc w:val="both"/>
      </w:pPr>
      <w:r>
        <w:rPr>
          <w:rFonts w:ascii="Times New Roman" w:hAnsi="Times New Roman"/>
          <w:b/>
          <w:sz w:val="22"/>
        </w:rPr>
        <w:t xml:space="preserve">(c)  </w:t>
      </w:r>
      <w:r>
        <w:rPr>
          <w:rFonts w:ascii="Times New Roman" w:hAnsi="Times New Roman"/>
          <w:sz w:val="22"/>
        </w:rPr>
        <w:t>A covered operator shall maintain, at each host location, funds sufficient to pay the maximum award available on the covered devices at that location, held on an imprest basis.</w:t>
      </w:r>
    </w:p>
    <w:p>
      <w:pPr>
        <w:ind w:left="432" w:hanging="432"/>
        <w:jc w:val="both"/>
      </w:pPr>
      <w:r>
        <w:rPr>
          <w:rFonts w:ascii="Times New Roman" w:hAnsi="Times New Roman"/>
          <w:b/>
          <w:sz w:val="22"/>
        </w:rPr>
        <w:t xml:space="preserve">(d)  </w:t>
      </w:r>
      <w:r>
        <w:rPr>
          <w:rFonts w:ascii="Times New Roman" w:hAnsi="Times New Roman"/>
          <w:sz w:val="22"/>
        </w:rPr>
        <w:t>A covered operator shall not pledge, encumber, lend, or invest funds held under subsection (a).</w:t>
      </w:r>
    </w:p>
    <w:p>
      <w:pPr>
        <w:ind w:left="432" w:hanging="432"/>
        <w:jc w:val="both"/>
      </w:pPr>
      <w:r>
        <w:rPr>
          <w:rFonts w:ascii="Times New Roman" w:hAnsi="Times New Roman"/>
          <w:b/>
          <w:sz w:val="22"/>
        </w:rPr>
        <w:t xml:space="preserve">(e)  </w:t>
      </w:r>
      <w:r>
        <w:rPr>
          <w:rFonts w:ascii="Times New Roman" w:hAnsi="Times New Roman"/>
          <w:sz w:val="22"/>
        </w:rPr>
        <w:t>A licensed organization shall maintain amounts received for a charitable purpose in an account separate from any account used for the general operations of the organization, and shall not commingle those amounts with other funds.</w:t>
      </w:r>
    </w:p>
    <w:p>
      <w:pPr>
        <w:pStyle w:val="Heading2"/>
      </w:pPr>
      <w:r>
        <w:rPr>
          <w:rFonts w:ascii="Times New Roman" w:hAnsi="Times New Roman"/>
          <w:b/>
          <w:color w:val="143C46"/>
          <w:sz w:val="23"/>
        </w:rPr>
        <w:t xml:space="preserve">§ 207.  </w:t>
      </w:r>
      <w:r>
        <w:rPr>
          <w:rFonts w:ascii="Times New Roman" w:hAnsi="Times New Roman"/>
          <w:b/>
          <w:color w:val="000000"/>
          <w:sz w:val="23"/>
        </w:rPr>
        <w:t>System standards</w:t>
      </w:r>
    </w:p>
    <w:p>
      <w:pPr>
        <w:ind w:left="432" w:hanging="432"/>
        <w:jc w:val="both"/>
      </w:pPr>
      <w:r>
        <w:rPr>
          <w:rFonts w:ascii="Times New Roman" w:hAnsi="Times New Roman"/>
          <w:b/>
          <w:sz w:val="22"/>
        </w:rPr>
        <w:t xml:space="preserve">(a)  </w:t>
      </w:r>
      <w:r>
        <w:rPr>
          <w:rFonts w:ascii="Times New Roman" w:hAnsi="Times New Roman"/>
          <w:sz w:val="22"/>
        </w:rPr>
        <w:t>A covered operator shall not offer a covered product on a covered device that does not conform to SBCGS-T.</w:t>
      </w:r>
    </w:p>
    <w:p>
      <w:pPr>
        <w:ind w:left="432" w:hanging="432"/>
        <w:jc w:val="both"/>
      </w:pPr>
      <w:r>
        <w:rPr>
          <w:rFonts w:ascii="Times New Roman" w:hAnsi="Times New Roman"/>
          <w:b/>
          <w:sz w:val="22"/>
        </w:rPr>
        <w:t xml:space="preserve">(b)  </w:t>
      </w:r>
      <w:r>
        <w:rPr>
          <w:rFonts w:ascii="Times New Roman" w:hAnsi="Times New Roman"/>
          <w:sz w:val="22"/>
        </w:rPr>
        <w:t>A covered operator shall connect each covered device to a monitoring system meeting SBCGS-T Part 850, and shall not offer a covered product on a device that is not so connected.</w:t>
      </w:r>
    </w:p>
    <w:p>
      <w:pPr>
        <w:ind w:left="432" w:hanging="432"/>
        <w:jc w:val="both"/>
      </w:pPr>
      <w:r>
        <w:rPr>
          <w:rFonts w:ascii="Times New Roman" w:hAnsi="Times New Roman"/>
          <w:b/>
          <w:sz w:val="22"/>
        </w:rPr>
        <w:t xml:space="preserve">(c)  </w:t>
      </w:r>
      <w:r>
        <w:rPr>
          <w:rFonts w:ascii="Times New Roman" w:hAnsi="Times New Roman"/>
          <w:sz w:val="22"/>
        </w:rPr>
        <w:t>A covered operator shall configure each covered device so that, where a control required by this standard or by SBCGS-T is unavailable, the device rejects the commitment of consideration rather than accepting it without the control.</w:t>
      </w:r>
    </w:p>
    <w:p>
      <w:pPr>
        <w:ind w:left="432" w:hanging="432"/>
        <w:jc w:val="both"/>
      </w:pPr>
      <w:r>
        <w:rPr>
          <w:rFonts w:ascii="Times New Roman" w:hAnsi="Times New Roman"/>
          <w:b/>
          <w:sz w:val="22"/>
        </w:rPr>
        <w:t xml:space="preserve">(d)  </w:t>
      </w:r>
      <w:r>
        <w:rPr>
          <w:rFonts w:ascii="Times New Roman" w:hAnsi="Times New Roman"/>
          <w:sz w:val="22"/>
        </w:rPr>
        <w:t>A covered operator shall not modify, and shall not permit the modification of, software or configuration affecting outcome, award schedule, a skill element, accounting, or a control required by this standard, except through a process stated in the written internal controls that produces a record of the modification, the individual who made it, the authorization for it, and the certification supporting it.</w:t>
      </w:r>
    </w:p>
    <w:p>
      <w:pPr>
        <w:ind w:left="432" w:hanging="432"/>
        <w:jc w:val="both"/>
      </w:pPr>
      <w:r>
        <w:rPr>
          <w:rFonts w:ascii="Times New Roman" w:hAnsi="Times New Roman"/>
          <w:b/>
          <w:sz w:val="22"/>
        </w:rPr>
        <w:t xml:space="preserve">(e)  </w:t>
      </w:r>
      <w:r>
        <w:rPr>
          <w:rFonts w:ascii="Times New Roman" w:hAnsi="Times New Roman"/>
          <w:sz w:val="22"/>
        </w:rPr>
        <w:t>A covered operator shall reconcile the records of each covered device against the monitoring system not less than daily, and shall investigate and document each variance exceeding the lesser of one percent of the day's gross gaming revenue at the device or one hundred dollars.</w:t>
      </w:r>
    </w:p>
    <w:p>
      <w:pPr>
        <w:pStyle w:val="Heading2"/>
      </w:pPr>
      <w:r>
        <w:rPr>
          <w:rFonts w:ascii="Times New Roman" w:hAnsi="Times New Roman"/>
          <w:b/>
          <w:color w:val="143C46"/>
          <w:sz w:val="23"/>
        </w:rPr>
        <w:t xml:space="preserve">§ 208.  </w:t>
      </w:r>
      <w:r>
        <w:rPr>
          <w:rFonts w:ascii="Times New Roman" w:hAnsi="Times New Roman"/>
          <w:b/>
          <w:color w:val="000000"/>
          <w:sz w:val="23"/>
        </w:rPr>
        <w:t>Independent testing</w:t>
      </w:r>
    </w:p>
    <w:p>
      <w:pPr>
        <w:ind w:left="432" w:hanging="432"/>
        <w:jc w:val="both"/>
      </w:pPr>
      <w:r>
        <w:rPr>
          <w:rFonts w:ascii="Times New Roman" w:hAnsi="Times New Roman"/>
          <w:b/>
          <w:sz w:val="22"/>
        </w:rPr>
        <w:t xml:space="preserve">(a)  </w:t>
      </w:r>
      <w:r>
        <w:rPr>
          <w:rFonts w:ascii="Times New Roman" w:hAnsi="Times New Roman"/>
          <w:sz w:val="22"/>
        </w:rPr>
        <w:t>A covered operator shall not offer a covered product on a covered device unless an independent testing laboratory meeting SBCGS-T § 881 has certified that the device conforms to SBCGS-T and has issued a written report.</w:t>
      </w:r>
    </w:p>
    <w:p>
      <w:pPr>
        <w:ind w:left="432" w:hanging="432"/>
        <w:jc w:val="both"/>
      </w:pPr>
      <w:r>
        <w:rPr>
          <w:rFonts w:ascii="Times New Roman" w:hAnsi="Times New Roman"/>
          <w:b/>
          <w:sz w:val="22"/>
        </w:rPr>
        <w:t xml:space="preserve">(b)  </w:t>
      </w:r>
      <w:r>
        <w:rPr>
          <w:rFonts w:ascii="Times New Roman" w:hAnsi="Times New Roman"/>
          <w:sz w:val="22"/>
        </w:rPr>
        <w:t>A covered operator shall obtain a further certification upon any change described in § 207(d) and upon any event requiring reclassification under SBCGS-C § 109(a)(1).</w:t>
      </w:r>
    </w:p>
    <w:p>
      <w:pPr>
        <w:ind w:left="432" w:hanging="432"/>
        <w:jc w:val="both"/>
      </w:pPr>
      <w:r>
        <w:rPr>
          <w:rFonts w:ascii="Times New Roman" w:hAnsi="Times New Roman"/>
          <w:b/>
          <w:sz w:val="22"/>
        </w:rPr>
        <w:t xml:space="preserve">(c)  </w:t>
      </w:r>
      <w:r>
        <w:rPr>
          <w:rFonts w:ascii="Times New Roman" w:hAnsi="Times New Roman"/>
          <w:sz w:val="22"/>
        </w:rPr>
        <w:t>A covered operator shall retain each report and shall produce it on request to a licensed organization, an assessor, and a regulatory authority.</w:t>
      </w:r>
    </w:p>
    <w:p>
      <w:pPr>
        <w:ind w:left="432" w:hanging="432"/>
        <w:jc w:val="both"/>
      </w:pPr>
      <w:r>
        <w:rPr>
          <w:rFonts w:ascii="Times New Roman" w:hAnsi="Times New Roman"/>
          <w:b/>
          <w:sz w:val="22"/>
        </w:rPr>
        <w:t xml:space="preserve">(d)  </w:t>
      </w:r>
      <w:r>
        <w:rPr>
          <w:rFonts w:ascii="Times New Roman" w:hAnsi="Times New Roman"/>
          <w:sz w:val="22"/>
        </w:rPr>
        <w:t>A covered operator shall not represent that a covered device is certified except by reference to a report obtained under this section, identifying the laboratory, the report, the date, and the software identification to which it applies.</w:t>
      </w:r>
    </w:p>
    <w:p>
      <w:r>
        <w:br w:type="page"/>
      </w:r>
    </w:p>
    <w:p>
      <w:pPr>
        <w:spacing w:after="40"/>
      </w:pPr>
      <w:r>
        <w:rPr>
          <w:rFonts w:ascii="Calibri" w:hAnsi="Calibri"/>
          <w:b/>
          <w:color w:val="143C46"/>
          <w:sz w:val="18"/>
        </w:rPr>
        <w:t>PART 300</w:t>
      </w:r>
    </w:p>
    <w:p>
      <w:pPr>
        <w:pStyle w:val="Heading1"/>
        <w:spacing w:before="0"/>
        <w:pBdr>
          <w:bottom w:val="single" w:sz="8" w:space="6" w:color="143C46"/>
        </w:pBdr>
      </w:pPr>
      <w:r>
        <w:rPr>
          <w:rFonts w:ascii="Times New Roman" w:hAnsi="Times New Roman"/>
          <w:b/>
          <w:color w:val="000000"/>
          <w:sz w:val="30"/>
        </w:rPr>
        <w:t>Player Protection</w:t>
      </w:r>
    </w:p>
    <w:p>
      <w:pPr>
        <w:pStyle w:val="Heading2"/>
      </w:pPr>
      <w:r>
        <w:rPr>
          <w:rFonts w:ascii="Times New Roman" w:hAnsi="Times New Roman"/>
          <w:b/>
          <w:color w:val="143C46"/>
          <w:sz w:val="23"/>
        </w:rPr>
        <w:t xml:space="preserve">§ 301.  </w:t>
      </w:r>
      <w:r>
        <w:rPr>
          <w:rFonts w:ascii="Times New Roman" w:hAnsi="Times New Roman"/>
          <w:b/>
          <w:color w:val="000000"/>
          <w:sz w:val="23"/>
        </w:rPr>
        <w:t>Exclusion program</w:t>
      </w:r>
    </w:p>
    <w:p>
      <w:pPr>
        <w:ind w:left="432" w:hanging="432"/>
        <w:jc w:val="both"/>
      </w:pPr>
      <w:r>
        <w:rPr>
          <w:rFonts w:ascii="Times New Roman" w:hAnsi="Times New Roman"/>
          <w:b/>
          <w:sz w:val="22"/>
        </w:rPr>
        <w:t xml:space="preserve">(a)  </w:t>
      </w:r>
      <w:r>
        <w:rPr>
          <w:rFonts w:ascii="Times New Roman" w:hAnsi="Times New Roman"/>
          <w:b/>
          <w:sz w:val="22"/>
        </w:rPr>
        <w:t>Availability.</w:t>
      </w:r>
      <w:r>
        <w:rPr>
          <w:rFonts w:ascii="Times New Roman" w:hAnsi="Times New Roman"/>
          <w:sz w:val="22"/>
        </w:rPr>
        <w:t xml:space="preserve"> A covered operator shall enable a person to enroll in an exclusion program at any time, and shall make enrollment available at each of the following:</w:t>
      </w:r>
    </w:p>
    <w:p>
      <w:pPr>
        <w:ind w:left="864" w:hanging="432"/>
        <w:jc w:val="both"/>
      </w:pPr>
      <w:r>
        <w:rPr>
          <w:rFonts w:ascii="Times New Roman" w:hAnsi="Times New Roman"/>
          <w:b/>
          <w:sz w:val="22"/>
        </w:rPr>
        <w:t xml:space="preserve">(1)  </w:t>
      </w:r>
      <w:r>
        <w:rPr>
          <w:rFonts w:ascii="Times New Roman" w:hAnsi="Times New Roman"/>
          <w:sz w:val="22"/>
        </w:rPr>
        <w:t>at the covered device, without the assistance of an employee;</w:t>
      </w:r>
    </w:p>
    <w:p>
      <w:pPr>
        <w:ind w:left="864" w:hanging="432"/>
        <w:jc w:val="both"/>
      </w:pPr>
      <w:r>
        <w:rPr>
          <w:rFonts w:ascii="Times New Roman" w:hAnsi="Times New Roman"/>
          <w:b/>
          <w:sz w:val="22"/>
        </w:rPr>
        <w:t xml:space="preserve">(2)  </w:t>
      </w:r>
      <w:r>
        <w:rPr>
          <w:rFonts w:ascii="Times New Roman" w:hAnsi="Times New Roman"/>
          <w:sz w:val="22"/>
        </w:rPr>
        <w:t>at the host location, through a form the host location is required to hold; and</w:t>
      </w:r>
    </w:p>
    <w:p>
      <w:pPr>
        <w:ind w:left="864" w:hanging="432"/>
        <w:jc w:val="both"/>
      </w:pPr>
      <w:r>
        <w:rPr>
          <w:rFonts w:ascii="Times New Roman" w:hAnsi="Times New Roman"/>
          <w:b/>
          <w:sz w:val="22"/>
        </w:rPr>
        <w:t xml:space="preserve">(3)  </w:t>
      </w:r>
      <w:r>
        <w:rPr>
          <w:rFonts w:ascii="Times New Roman" w:hAnsi="Times New Roman"/>
          <w:sz w:val="22"/>
        </w:rPr>
        <w:t>remotely, without attending a host location.</w:t>
      </w:r>
    </w:p>
    <w:p>
      <w:pPr>
        <w:ind w:left="432" w:hanging="432"/>
        <w:jc w:val="both"/>
      </w:pPr>
      <w:r>
        <w:rPr>
          <w:rFonts w:ascii="Times New Roman" w:hAnsi="Times New Roman"/>
          <w:b/>
          <w:sz w:val="22"/>
        </w:rPr>
        <w:t xml:space="preserve">(b)  </w:t>
      </w:r>
      <w:r>
        <w:rPr>
          <w:rFonts w:ascii="Times New Roman" w:hAnsi="Times New Roman"/>
          <w:b/>
          <w:sz w:val="22"/>
        </w:rPr>
        <w:t>Terms.</w:t>
      </w:r>
      <w:r>
        <w:rPr>
          <w:rFonts w:ascii="Times New Roman" w:hAnsi="Times New Roman"/>
          <w:sz w:val="22"/>
        </w:rPr>
        <w:t xml:space="preserve"> A covered operator shall offer exclusion terms of one year, five years, and lifetime. A person may at any time extend a term. A person may not shorten a term once elected.</w:t>
      </w:r>
    </w:p>
    <w:p>
      <w:pPr>
        <w:ind w:left="432" w:hanging="432"/>
        <w:jc w:val="both"/>
      </w:pPr>
      <w:r>
        <w:rPr>
          <w:rFonts w:ascii="Times New Roman" w:hAnsi="Times New Roman"/>
          <w:b/>
          <w:sz w:val="22"/>
        </w:rPr>
        <w:t xml:space="preserve">(c)  </w:t>
      </w:r>
      <w:r>
        <w:rPr>
          <w:rFonts w:ascii="Times New Roman" w:hAnsi="Times New Roman"/>
          <w:b/>
          <w:sz w:val="22"/>
        </w:rPr>
        <w:t>Effect.</w:t>
      </w:r>
      <w:r>
        <w:rPr>
          <w:rFonts w:ascii="Times New Roman" w:hAnsi="Times New Roman"/>
          <w:sz w:val="22"/>
        </w:rPr>
        <w:t xml:space="preserve"> Upon enrollment the covered operator shall, within twenty four hours:</w:t>
      </w:r>
    </w:p>
    <w:p>
      <w:pPr>
        <w:ind w:left="864" w:hanging="432"/>
        <w:jc w:val="both"/>
      </w:pPr>
      <w:r>
        <w:rPr>
          <w:rFonts w:ascii="Times New Roman" w:hAnsi="Times New Roman"/>
          <w:b/>
          <w:sz w:val="22"/>
        </w:rPr>
        <w:t xml:space="preserve">(1)  </w:t>
      </w:r>
      <w:r>
        <w:rPr>
          <w:rFonts w:ascii="Times New Roman" w:hAnsi="Times New Roman"/>
          <w:sz w:val="22"/>
        </w:rPr>
        <w:t>prevent the excluded person from commencing play on any covered device the operator offers, in every jurisdiction in which the operator offers covered products;</w:t>
      </w:r>
    </w:p>
    <w:p>
      <w:pPr>
        <w:ind w:left="864" w:hanging="432"/>
        <w:jc w:val="both"/>
      </w:pPr>
      <w:r>
        <w:rPr>
          <w:rFonts w:ascii="Times New Roman" w:hAnsi="Times New Roman"/>
          <w:b/>
          <w:sz w:val="22"/>
        </w:rPr>
        <w:t xml:space="preserve">(2)  </w:t>
      </w:r>
      <w:r>
        <w:rPr>
          <w:rFonts w:ascii="Times New Roman" w:hAnsi="Times New Roman"/>
          <w:sz w:val="22"/>
        </w:rPr>
        <w:t>cease all direct marketing to the excluded person, and remove the person from every marketing audience, including an audience constructed by an affiliate or an advertising service; and</w:t>
      </w:r>
    </w:p>
    <w:p>
      <w:pPr>
        <w:ind w:left="864" w:hanging="432"/>
        <w:jc w:val="both"/>
      </w:pPr>
      <w:r>
        <w:rPr>
          <w:rFonts w:ascii="Times New Roman" w:hAnsi="Times New Roman"/>
          <w:b/>
          <w:sz w:val="22"/>
        </w:rPr>
        <w:t xml:space="preserve">(3)  </w:t>
      </w:r>
      <w:r>
        <w:rPr>
          <w:rFonts w:ascii="Times New Roman" w:hAnsi="Times New Roman"/>
          <w:sz w:val="22"/>
        </w:rPr>
        <w:t>withdraw any loyalty benefit, promotional credit, or complimentary service.</w:t>
      </w:r>
    </w:p>
    <w:p>
      <w:pPr>
        <w:ind w:left="432" w:hanging="432"/>
        <w:jc w:val="both"/>
      </w:pPr>
      <w:r>
        <w:rPr>
          <w:rFonts w:ascii="Times New Roman" w:hAnsi="Times New Roman"/>
          <w:b/>
          <w:sz w:val="22"/>
        </w:rPr>
        <w:t xml:space="preserve">(d)  </w:t>
      </w:r>
      <w:r>
        <w:rPr>
          <w:rFonts w:ascii="Times New Roman" w:hAnsi="Times New Roman"/>
          <w:b/>
          <w:sz w:val="22"/>
        </w:rPr>
        <w:t>Payment of accrued awards.</w:t>
      </w:r>
      <w:r>
        <w:rPr>
          <w:rFonts w:ascii="Times New Roman" w:hAnsi="Times New Roman"/>
          <w:sz w:val="22"/>
        </w:rPr>
        <w:t xml:space="preserve"> A covered operator shall pay an excluded person any award accrued before enrollment and any unredeemed balance held at the time of enrollment. Exclusion shall not be a ground for forfeiting an amount already won.</w:t>
      </w:r>
    </w:p>
    <w:p>
      <w:pPr>
        <w:ind w:left="432" w:hanging="432"/>
        <w:jc w:val="both"/>
      </w:pPr>
      <w:r>
        <w:rPr>
          <w:rFonts w:ascii="Times New Roman" w:hAnsi="Times New Roman"/>
          <w:b/>
          <w:sz w:val="22"/>
        </w:rPr>
        <w:t xml:space="preserve">(e)  </w:t>
      </w:r>
      <w:r>
        <w:rPr>
          <w:rFonts w:ascii="Times New Roman" w:hAnsi="Times New Roman"/>
          <w:b/>
          <w:sz w:val="22"/>
        </w:rPr>
        <w:t>Enforcement at the device.</w:t>
      </w:r>
      <w:r>
        <w:rPr>
          <w:rFonts w:ascii="Times New Roman" w:hAnsi="Times New Roman"/>
          <w:sz w:val="22"/>
        </w:rPr>
        <w:t xml:space="preserve"> A covered operator shall enforce an exclusion at the covered device before consideration is accepted, by the identity verification required by § 401. Where a covered device permits limited anonymous play under § 401(d), the operator shall enforce the exclusion by the means available at that device and shall record each instance in which enforcement was not possible.</w:t>
      </w:r>
    </w:p>
    <w:p>
      <w:pPr>
        <w:ind w:left="432" w:hanging="432"/>
        <w:jc w:val="both"/>
      </w:pPr>
      <w:r>
        <w:rPr>
          <w:rFonts w:ascii="Times New Roman" w:hAnsi="Times New Roman"/>
          <w:b/>
          <w:sz w:val="22"/>
        </w:rPr>
        <w:t xml:space="preserve">(f)  </w:t>
      </w:r>
      <w:r>
        <w:rPr>
          <w:rFonts w:ascii="Times New Roman" w:hAnsi="Times New Roman"/>
          <w:b/>
          <w:sz w:val="22"/>
        </w:rPr>
        <w:t>Enforcement at the location.</w:t>
      </w:r>
      <w:r>
        <w:rPr>
          <w:rFonts w:ascii="Times New Roman" w:hAnsi="Times New Roman"/>
          <w:sz w:val="22"/>
        </w:rPr>
        <w:t xml:space="preserve"> A host location shall not knowingly permit an excluded person to play a covered device on its premises, and shall hold and enforce the exclusion list provided by the covered operator in the form the operator supplies.</w:t>
      </w:r>
    </w:p>
    <w:p>
      <w:pPr>
        <w:ind w:left="432" w:hanging="432"/>
        <w:jc w:val="both"/>
      </w:pPr>
      <w:r>
        <w:rPr>
          <w:rFonts w:ascii="Times New Roman" w:hAnsi="Times New Roman"/>
          <w:b/>
          <w:sz w:val="22"/>
        </w:rPr>
        <w:t xml:space="preserve">(g)  </w:t>
      </w:r>
      <w:r>
        <w:rPr>
          <w:rFonts w:ascii="Times New Roman" w:hAnsi="Times New Roman"/>
          <w:b/>
          <w:sz w:val="22"/>
        </w:rPr>
        <w:t>Reinstatement.</w:t>
      </w:r>
      <w:r>
        <w:rPr>
          <w:rFonts w:ascii="Times New Roman" w:hAnsi="Times New Roman"/>
          <w:sz w:val="22"/>
        </w:rPr>
        <w:t xml:space="preserve"> A covered operator shall not remove a person from an exclusion program automatically at the expiration of the elected term. Removal requires an affirmative application by the person made after the term has expired. For a lifetime exclusion, removal additionally requires that not less than five years have elapsed and that the person has completed a problem gambling awareness program.</w:t>
      </w:r>
    </w:p>
    <w:p>
      <w:pPr>
        <w:ind w:left="432" w:hanging="432"/>
        <w:jc w:val="both"/>
      </w:pPr>
      <w:r>
        <w:rPr>
          <w:rFonts w:ascii="Times New Roman" w:hAnsi="Times New Roman"/>
          <w:b/>
          <w:sz w:val="22"/>
        </w:rPr>
        <w:t xml:space="preserve">(h)  </w:t>
      </w:r>
      <w:r>
        <w:rPr>
          <w:rFonts w:ascii="Times New Roman" w:hAnsi="Times New Roman"/>
          <w:b/>
          <w:sz w:val="22"/>
        </w:rPr>
        <w:t>Confidentiality.</w:t>
      </w:r>
      <w:r>
        <w:rPr>
          <w:rFonts w:ascii="Times New Roman" w:hAnsi="Times New Roman"/>
          <w:sz w:val="22"/>
        </w:rPr>
        <w:t xml:space="preserve"> A covered operator and a host location shall hold the identity of an excluded person in confidence and shall use exclusion data only for the purposes of this standard.</w:t>
      </w:r>
    </w:p>
    <w:p>
      <w:pPr>
        <w:ind w:left="432" w:hanging="432"/>
        <w:jc w:val="both"/>
      </w:pPr>
      <w:r>
        <w:rPr>
          <w:rFonts w:ascii="Times New Roman" w:hAnsi="Times New Roman"/>
          <w:b/>
          <w:sz w:val="22"/>
        </w:rPr>
        <w:t xml:space="preserve">(i)  </w:t>
      </w:r>
      <w:r>
        <w:rPr>
          <w:rFonts w:ascii="Times New Roman" w:hAnsi="Times New Roman"/>
          <w:b/>
          <w:sz w:val="22"/>
        </w:rPr>
        <w:t>Interoperability.</w:t>
      </w:r>
      <w:r>
        <w:rPr>
          <w:rFonts w:ascii="Times New Roman" w:hAnsi="Times New Roman"/>
          <w:sz w:val="22"/>
        </w:rPr>
        <w:t xml:space="preserve"> A covered operator shall honor an exclusion recorded in any statewide or multi-operator exclusion program applicable to it, and shall support transmission of an exclusion it records to such a program. Where a jurisdiction operates an exclusion program for casino gaming, video gaming terminals, or sports wagering, and the program does not by its terms reach covered products, the covered operator shall nonetheless honor an exclusion recorded in that program.</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Subsection (i) is the provision that a jurisdiction can adopt on its own and that costs an operator almost nothing. A person who has excluded from every casino in a state and then encounters the same exposure in a tavern has not been protected, and the operator of that tavern device is in a position to know it.</w:t>
      </w:r>
    </w:p>
    <w:p>
      <w:pPr>
        <w:spacing w:before="240"/>
        <w:pBdr>
          <w:top w:val="single" w:sz="4" w:space="6" w:color="8A8A8A"/>
        </w:pBdr>
      </w:pPr>
      <w:r>
        <w:rPr>
          <w:rFonts w:ascii="Times New Roman" w:hAnsi="Times New Roman"/>
          <w:i/>
          <w:color w:val="555555"/>
          <w:sz w:val="17"/>
        </w:rPr>
        <w:t>Basis: Ohio Admin. Code 3772-12-03 and 3772-12-04; Pa. H.B. 2557, § 5305 (2026).</w:t>
      </w:r>
    </w:p>
    <w:p>
      <w:pPr>
        <w:pStyle w:val="Heading2"/>
      </w:pPr>
      <w:r>
        <w:rPr>
          <w:rFonts w:ascii="Times New Roman" w:hAnsi="Times New Roman"/>
          <w:b/>
          <w:color w:val="143C46"/>
          <w:sz w:val="23"/>
        </w:rPr>
        <w:t xml:space="preserve">§ 302.  </w:t>
      </w:r>
      <w:r>
        <w:rPr>
          <w:rFonts w:ascii="Times New Roman" w:hAnsi="Times New Roman"/>
          <w:b/>
          <w:color w:val="000000"/>
          <w:sz w:val="23"/>
        </w:rPr>
        <w:t>Financial and time limits</w:t>
      </w:r>
    </w:p>
    <w:p>
      <w:pPr>
        <w:ind w:left="432" w:hanging="432"/>
        <w:jc w:val="both"/>
      </w:pPr>
      <w:r>
        <w:rPr>
          <w:rFonts w:ascii="Times New Roman" w:hAnsi="Times New Roman"/>
          <w:b/>
          <w:sz w:val="22"/>
        </w:rPr>
        <w:t xml:space="preserve">(a)  </w:t>
      </w:r>
      <w:r>
        <w:rPr>
          <w:rFonts w:ascii="Times New Roman" w:hAnsi="Times New Roman"/>
          <w:sz w:val="22"/>
        </w:rPr>
        <w:t>A covered operator shall enable a player to set, before the first commitment of consideration in a session, a limit on net position for the day.</w:t>
      </w:r>
    </w:p>
    <w:p>
      <w:pPr>
        <w:ind w:left="432" w:hanging="432"/>
        <w:jc w:val="both"/>
      </w:pPr>
      <w:r>
        <w:rPr>
          <w:rFonts w:ascii="Times New Roman" w:hAnsi="Times New Roman"/>
          <w:b/>
          <w:sz w:val="22"/>
        </w:rPr>
        <w:t xml:space="preserve">(b)  </w:t>
      </w:r>
      <w:r>
        <w:rPr>
          <w:rFonts w:ascii="Times New Roman" w:hAnsi="Times New Roman"/>
          <w:sz w:val="22"/>
        </w:rPr>
        <w:t>A covered operator shall apply a default limit on net position for the day, applicable where the player sets none, of not more than two hundred fifty dollars.</w:t>
      </w:r>
    </w:p>
    <w:p>
      <w:pPr>
        <w:spacing w:before="240"/>
        <w:pBdr>
          <w:top w:val="single" w:sz="4" w:space="6" w:color="8A8A8A"/>
        </w:pBdr>
      </w:pPr>
      <w:r>
        <w:rPr>
          <w:rFonts w:ascii="Times New Roman" w:hAnsi="Times New Roman"/>
          <w:i/>
          <w:color w:val="555555"/>
          <w:sz w:val="17"/>
        </w:rPr>
        <w:t>Basis: Pa. H.B. 2557, § 5304(c) (2026).</w:t>
      </w:r>
    </w:p>
    <w:p>
      <w:pPr>
        <w:ind w:left="432" w:hanging="432"/>
        <w:jc w:val="both"/>
      </w:pPr>
      <w:r>
        <w:rPr>
          <w:rFonts w:ascii="Times New Roman" w:hAnsi="Times New Roman"/>
          <w:b/>
          <w:sz w:val="22"/>
        </w:rPr>
        <w:t xml:space="preserve">(c)  </w:t>
      </w:r>
      <w:r>
        <w:rPr>
          <w:rFonts w:ascii="Times New Roman" w:hAnsi="Times New Roman"/>
          <w:sz w:val="22"/>
        </w:rPr>
        <w:t>A player may reduce a limit during a session. A player may not increase a limit during a session. An increase takes effect only after the period of the existing limit has expired and the player has reaffirmed the increase after that expiry.</w:t>
      </w:r>
    </w:p>
    <w:p>
      <w:pPr>
        <w:ind w:left="432" w:hanging="432"/>
        <w:jc w:val="both"/>
      </w:pPr>
      <w:r>
        <w:rPr>
          <w:rFonts w:ascii="Times New Roman" w:hAnsi="Times New Roman"/>
          <w:b/>
          <w:sz w:val="22"/>
        </w:rPr>
        <w:t xml:space="preserve">(d)  </w:t>
      </w:r>
      <w:r>
        <w:rPr>
          <w:rFonts w:ascii="Times New Roman" w:hAnsi="Times New Roman"/>
          <w:sz w:val="22"/>
        </w:rPr>
        <w:t>Where a covered operator maintains a player account, the operator shall additionally enable the player to set, at durations of twenty four hours, seven days, and one month, a limit on the amount committed and a limit on net position, and a limit on session time on a daily basis.</w:t>
      </w:r>
    </w:p>
    <w:p>
      <w:pPr>
        <w:ind w:left="432" w:hanging="432"/>
        <w:jc w:val="both"/>
      </w:pPr>
      <w:r>
        <w:rPr>
          <w:rFonts w:ascii="Times New Roman" w:hAnsi="Times New Roman"/>
          <w:b/>
          <w:sz w:val="22"/>
        </w:rPr>
        <w:t xml:space="preserve">(e)  </w:t>
      </w:r>
      <w:r>
        <w:rPr>
          <w:rFonts w:ascii="Times New Roman" w:hAnsi="Times New Roman"/>
          <w:sz w:val="22"/>
        </w:rPr>
        <w:t>A covered operator shall enforce each limit at the covered device before consideration is accepted, and shall inform the player which limit caused a rejection.</w:t>
      </w:r>
    </w:p>
    <w:p>
      <w:pPr>
        <w:ind w:left="432" w:hanging="432"/>
        <w:jc w:val="both"/>
      </w:pPr>
      <w:r>
        <w:rPr>
          <w:rFonts w:ascii="Times New Roman" w:hAnsi="Times New Roman"/>
          <w:b/>
          <w:sz w:val="22"/>
        </w:rPr>
        <w:t xml:space="preserve">(f)  </w:t>
      </w:r>
      <w:r>
        <w:rPr>
          <w:rFonts w:ascii="Times New Roman" w:hAnsi="Times New Roman"/>
          <w:sz w:val="22"/>
        </w:rPr>
        <w:t>Where a player has set limits of differing durations, the most restrictive applicable limit governs.</w:t>
      </w:r>
    </w:p>
    <w:p>
      <w:pPr>
        <w:ind w:left="432" w:hanging="432"/>
        <w:jc w:val="both"/>
      </w:pPr>
      <w:r>
        <w:rPr>
          <w:rFonts w:ascii="Times New Roman" w:hAnsi="Times New Roman"/>
          <w:b/>
          <w:sz w:val="22"/>
        </w:rPr>
        <w:t xml:space="preserve">(g)  </w:t>
      </w:r>
      <w:r>
        <w:rPr>
          <w:rFonts w:ascii="Times New Roman" w:hAnsi="Times New Roman"/>
          <w:sz w:val="22"/>
        </w:rPr>
        <w:t>A covered operator shall enable a player to suspend play for a period of not less than seventy two hours, and subsections (c) and (d) of § 301 apply during the suspension.</w:t>
      </w:r>
    </w:p>
    <w:p>
      <w:pPr>
        <w:pStyle w:val="Heading2"/>
      </w:pPr>
      <w:r>
        <w:rPr>
          <w:rFonts w:ascii="Times New Roman" w:hAnsi="Times New Roman"/>
          <w:b/>
          <w:color w:val="143C46"/>
          <w:sz w:val="23"/>
        </w:rPr>
        <w:t xml:space="preserve">§ 303.  </w:t>
      </w:r>
      <w:r>
        <w:rPr>
          <w:rFonts w:ascii="Times New Roman" w:hAnsi="Times New Roman"/>
          <w:b/>
          <w:color w:val="000000"/>
          <w:sz w:val="23"/>
        </w:rPr>
        <w:t>Session conduct</w:t>
      </w:r>
    </w:p>
    <w:p>
      <w:pPr>
        <w:ind w:left="432" w:hanging="432"/>
        <w:jc w:val="both"/>
      </w:pPr>
      <w:r>
        <w:rPr>
          <w:rFonts w:ascii="Times New Roman" w:hAnsi="Times New Roman"/>
          <w:b/>
          <w:sz w:val="22"/>
        </w:rPr>
        <w:t xml:space="preserve">(a)  </w:t>
      </w:r>
      <w:r>
        <w:rPr>
          <w:rFonts w:ascii="Times New Roman" w:hAnsi="Times New Roman"/>
          <w:sz w:val="22"/>
        </w:rPr>
        <w:t>A covered device shall not permit a player to commit consideration for a further play within five seconds of the commencement of the preceding play.</w:t>
      </w:r>
    </w:p>
    <w:p>
      <w:pPr>
        <w:ind w:left="432" w:hanging="432"/>
        <w:jc w:val="both"/>
      </w:pPr>
      <w:r>
        <w:rPr>
          <w:rFonts w:ascii="Times New Roman" w:hAnsi="Times New Roman"/>
          <w:b/>
          <w:sz w:val="22"/>
        </w:rPr>
        <w:t xml:space="preserve">(b)  </w:t>
      </w:r>
      <w:r>
        <w:rPr>
          <w:rFonts w:ascii="Times New Roman" w:hAnsi="Times New Roman"/>
          <w:sz w:val="22"/>
        </w:rPr>
        <w:t>A covered device shall suspend play for not less than thirty seconds after fifteen minutes of continuous play in a session, and shall display during the suspension the elapsed session time, the amount committed in the session, the value of awards received in the session, and the net position for the session.</w:t>
      </w:r>
    </w:p>
    <w:p>
      <w:pPr>
        <w:spacing w:before="240"/>
        <w:pBdr>
          <w:top w:val="single" w:sz="4" w:space="6" w:color="8A8A8A"/>
        </w:pBdr>
      </w:pPr>
      <w:r>
        <w:rPr>
          <w:rFonts w:ascii="Times New Roman" w:hAnsi="Times New Roman"/>
          <w:i/>
          <w:color w:val="555555"/>
          <w:sz w:val="17"/>
        </w:rPr>
        <w:t>Basis: Pa. H.B. 2557, § 5304(a) and (b) (2026).</w:t>
      </w:r>
    </w:p>
    <w:p>
      <w:pPr>
        <w:ind w:left="432" w:hanging="432"/>
        <w:jc w:val="both"/>
      </w:pPr>
      <w:r>
        <w:rPr>
          <w:rFonts w:ascii="Times New Roman" w:hAnsi="Times New Roman"/>
          <w:b/>
          <w:sz w:val="22"/>
        </w:rPr>
        <w:t xml:space="preserve">(c)  </w:t>
      </w:r>
      <w:r>
        <w:rPr>
          <w:rFonts w:ascii="Times New Roman" w:hAnsi="Times New Roman"/>
          <w:sz w:val="22"/>
        </w:rPr>
        <w:t>A covered device shall display continuously, while a session is in progress, the elapsed session time, the amount committed in the session, the value of awards received in the session, and the net position for the session.</w:t>
      </w:r>
    </w:p>
    <w:p>
      <w:pPr>
        <w:ind w:left="432" w:hanging="432"/>
        <w:jc w:val="both"/>
      </w:pPr>
      <w:r>
        <w:rPr>
          <w:rFonts w:ascii="Times New Roman" w:hAnsi="Times New Roman"/>
          <w:b/>
          <w:sz w:val="22"/>
        </w:rPr>
        <w:t xml:space="preserve">(d)  </w:t>
      </w:r>
      <w:r>
        <w:rPr>
          <w:rFonts w:ascii="Times New Roman" w:hAnsi="Times New Roman"/>
          <w:sz w:val="22"/>
        </w:rPr>
        <w:t>A covered device shall not accept a credit card, a debit card, or an instrument drawn on a line of credit as consideration.</w:t>
      </w:r>
    </w:p>
    <w:p>
      <w:pPr>
        <w:ind w:left="432" w:hanging="432"/>
        <w:jc w:val="both"/>
      </w:pPr>
      <w:r>
        <w:rPr>
          <w:rFonts w:ascii="Times New Roman" w:hAnsi="Times New Roman"/>
          <w:b/>
          <w:sz w:val="22"/>
        </w:rPr>
        <w:t xml:space="preserve">(e)  </w:t>
      </w:r>
      <w:r>
        <w:rPr>
          <w:rFonts w:ascii="Times New Roman" w:hAnsi="Times New Roman"/>
          <w:sz w:val="22"/>
        </w:rPr>
        <w:t>A covered operator shall not extend credit to a player, and shall not permit a host location to do so, for the purpose of play on a covered device.</w:t>
      </w:r>
    </w:p>
    <w:p>
      <w:pPr>
        <w:ind w:left="432" w:hanging="432"/>
        <w:jc w:val="both"/>
      </w:pPr>
      <w:r>
        <w:rPr>
          <w:rFonts w:ascii="Times New Roman" w:hAnsi="Times New Roman"/>
          <w:b/>
          <w:sz w:val="22"/>
        </w:rPr>
        <w:t xml:space="preserve">(f)  </w:t>
      </w:r>
      <w:r>
        <w:rPr>
          <w:rFonts w:ascii="Times New Roman" w:hAnsi="Times New Roman"/>
          <w:sz w:val="22"/>
        </w:rPr>
        <w:t>A covered operator shall not offer, and a host location shall not provide, complimentary alcohol conditioned on play of a covered device.</w:t>
      </w:r>
    </w:p>
    <w:p>
      <w:pPr>
        <w:pStyle w:val="Heading2"/>
      </w:pPr>
      <w:r>
        <w:rPr>
          <w:rFonts w:ascii="Times New Roman" w:hAnsi="Times New Roman"/>
          <w:b/>
          <w:color w:val="143C46"/>
          <w:sz w:val="23"/>
        </w:rPr>
        <w:t xml:space="preserve">§ 304.  </w:t>
      </w:r>
      <w:r>
        <w:rPr>
          <w:rFonts w:ascii="Times New Roman" w:hAnsi="Times New Roman"/>
          <w:b/>
          <w:color w:val="000000"/>
          <w:sz w:val="23"/>
        </w:rPr>
        <w:t>Disclosure</w:t>
      </w:r>
    </w:p>
    <w:p>
      <w:pPr>
        <w:ind w:left="432" w:hanging="432"/>
        <w:jc w:val="both"/>
      </w:pPr>
      <w:r>
        <w:rPr>
          <w:rFonts w:ascii="Times New Roman" w:hAnsi="Times New Roman"/>
          <w:b/>
          <w:sz w:val="22"/>
        </w:rPr>
        <w:t xml:space="preserve">(a)  </w:t>
      </w:r>
      <w:r>
        <w:rPr>
          <w:rFonts w:ascii="Times New Roman" w:hAnsi="Times New Roman"/>
          <w:b/>
          <w:sz w:val="22"/>
        </w:rPr>
        <w:t>Manner.</w:t>
      </w:r>
      <w:r>
        <w:rPr>
          <w:rFonts w:ascii="Times New Roman" w:hAnsi="Times New Roman"/>
          <w:sz w:val="22"/>
        </w:rPr>
        <w:t xml:space="preserve"> A disclosure required by this section shall be presented on the covered device in text legible at the position from which the device is played, shall be available to the player before the player commits consideration, and shall remain accessible during play through a control identified on the primary display.</w:t>
      </w:r>
    </w:p>
    <w:p>
      <w:pPr>
        <w:ind w:left="432" w:hanging="432"/>
        <w:jc w:val="both"/>
      </w:pPr>
      <w:r>
        <w:rPr>
          <w:rFonts w:ascii="Times New Roman" w:hAnsi="Times New Roman"/>
          <w:b/>
          <w:sz w:val="22"/>
        </w:rPr>
        <w:t xml:space="preserve">(b)  </w:t>
      </w:r>
      <w:r>
        <w:rPr>
          <w:rFonts w:ascii="Times New Roman" w:hAnsi="Times New Roman"/>
          <w:b/>
          <w:sz w:val="22"/>
        </w:rPr>
        <w:t>Content required for every covered product.</w:t>
      </w:r>
      <w:r>
        <w:rPr>
          <w:rFonts w:ascii="Times New Roman" w:hAnsi="Times New Roman"/>
          <w:sz w:val="22"/>
        </w:rPr>
        <w:t xml:space="preserve"> A covered operator shall disclose:</w:t>
      </w:r>
    </w:p>
    <w:p>
      <w:pPr>
        <w:ind w:left="864" w:hanging="432"/>
        <w:jc w:val="both"/>
      </w:pPr>
      <w:r>
        <w:rPr>
          <w:rFonts w:ascii="Times New Roman" w:hAnsi="Times New Roman"/>
          <w:b/>
          <w:sz w:val="22"/>
        </w:rPr>
        <w:t xml:space="preserve">(1)  </w:t>
      </w:r>
      <w:r>
        <w:rPr>
          <w:rFonts w:ascii="Times New Roman" w:hAnsi="Times New Roman"/>
          <w:sz w:val="22"/>
        </w:rPr>
        <w:t>the rules of play;</w:t>
      </w:r>
    </w:p>
    <w:p>
      <w:pPr>
        <w:ind w:left="864" w:hanging="432"/>
        <w:jc w:val="both"/>
      </w:pPr>
      <w:r>
        <w:rPr>
          <w:rFonts w:ascii="Times New Roman" w:hAnsi="Times New Roman"/>
          <w:b/>
          <w:sz w:val="22"/>
        </w:rPr>
        <w:t xml:space="preserve">(2)  </w:t>
      </w:r>
      <w:r>
        <w:rPr>
          <w:rFonts w:ascii="Times New Roman" w:hAnsi="Times New Roman"/>
          <w:sz w:val="22"/>
        </w:rPr>
        <w:t>the cost of a play and the maximum amount that may be committed on a single play;</w:t>
      </w:r>
    </w:p>
    <w:p>
      <w:pPr>
        <w:ind w:left="864" w:hanging="432"/>
        <w:jc w:val="both"/>
      </w:pPr>
      <w:r>
        <w:rPr>
          <w:rFonts w:ascii="Times New Roman" w:hAnsi="Times New Roman"/>
          <w:b/>
          <w:sz w:val="22"/>
        </w:rPr>
        <w:t xml:space="preserve">(3)  </w:t>
      </w:r>
      <w:r>
        <w:rPr>
          <w:rFonts w:ascii="Times New Roman" w:hAnsi="Times New Roman"/>
          <w:sz w:val="22"/>
        </w:rPr>
        <w:t>the schedule of awards and the maximum award available on a single play;</w:t>
      </w:r>
    </w:p>
    <w:p>
      <w:pPr>
        <w:ind w:left="864" w:hanging="432"/>
        <w:jc w:val="both"/>
      </w:pPr>
      <w:r>
        <w:rPr>
          <w:rFonts w:ascii="Times New Roman" w:hAnsi="Times New Roman"/>
          <w:b/>
          <w:sz w:val="22"/>
        </w:rPr>
        <w:t xml:space="preserve">(4)  </w:t>
      </w:r>
      <w:r>
        <w:rPr>
          <w:rFonts w:ascii="Times New Roman" w:hAnsi="Times New Roman"/>
          <w:sz w:val="22"/>
        </w:rPr>
        <w:t>the theoretical return to player expressed as a percentage of the amount committed, stated to one decimal place, for the configuration in operation;</w:t>
      </w:r>
    </w:p>
    <w:p>
      <w:pPr>
        <w:ind w:left="864" w:hanging="432"/>
        <w:jc w:val="both"/>
      </w:pPr>
      <w:r>
        <w:rPr>
          <w:rFonts w:ascii="Times New Roman" w:hAnsi="Times New Roman"/>
          <w:b/>
          <w:sz w:val="22"/>
        </w:rPr>
        <w:t xml:space="preserve">(5)  </w:t>
      </w:r>
      <w:r>
        <w:rPr>
          <w:rFonts w:ascii="Times New Roman" w:hAnsi="Times New Roman"/>
          <w:sz w:val="22"/>
        </w:rPr>
        <w:t>that the product may result in the loss of the amount committed;</w:t>
      </w:r>
    </w:p>
    <w:p>
      <w:pPr>
        <w:ind w:left="864" w:hanging="432"/>
        <w:jc w:val="both"/>
      </w:pPr>
      <w:r>
        <w:rPr>
          <w:rFonts w:ascii="Times New Roman" w:hAnsi="Times New Roman"/>
          <w:b/>
          <w:sz w:val="22"/>
        </w:rPr>
        <w:t xml:space="preserve">(6)  </w:t>
      </w:r>
      <w:r>
        <w:rPr>
          <w:rFonts w:ascii="Times New Roman" w:hAnsi="Times New Roman"/>
          <w:sz w:val="22"/>
        </w:rPr>
        <w:t>the identity of the covered operator and a means of making a complaint under § 306; and</w:t>
      </w:r>
    </w:p>
    <w:p>
      <w:pPr>
        <w:ind w:left="864" w:hanging="432"/>
        <w:jc w:val="both"/>
      </w:pPr>
      <w:r>
        <w:rPr>
          <w:rFonts w:ascii="Times New Roman" w:hAnsi="Times New Roman"/>
          <w:b/>
          <w:sz w:val="22"/>
        </w:rPr>
        <w:t xml:space="preserve">(7)  </w:t>
      </w:r>
      <w:r>
        <w:rPr>
          <w:rFonts w:ascii="Times New Roman" w:hAnsi="Times New Roman"/>
          <w:sz w:val="22"/>
        </w:rPr>
        <w:t>the statement and telephone number required by § 305(c).</w:t>
      </w:r>
    </w:p>
    <w:p>
      <w:pPr>
        <w:ind w:left="432" w:hanging="432"/>
        <w:jc w:val="both"/>
      </w:pPr>
      <w:r>
        <w:rPr>
          <w:rFonts w:ascii="Times New Roman" w:hAnsi="Times New Roman"/>
          <w:b/>
          <w:sz w:val="22"/>
        </w:rPr>
        <w:t xml:space="preserve">(c)  </w:t>
      </w:r>
      <w:r>
        <w:rPr>
          <w:rFonts w:ascii="Times New Roman" w:hAnsi="Times New Roman"/>
          <w:b/>
          <w:sz w:val="22"/>
        </w:rPr>
        <w:t>Content required for a skill-represented product.</w:t>
      </w:r>
      <w:r>
        <w:rPr>
          <w:rFonts w:ascii="Times New Roman" w:hAnsi="Times New Roman"/>
          <w:sz w:val="22"/>
        </w:rPr>
        <w:t xml:space="preserve"> In addition, a covered operator offering a skill-represented product shall disclose:</w:t>
      </w:r>
    </w:p>
    <w:p>
      <w:pPr>
        <w:ind w:left="864" w:hanging="432"/>
        <w:jc w:val="both"/>
      </w:pPr>
      <w:r>
        <w:rPr>
          <w:rFonts w:ascii="Times New Roman" w:hAnsi="Times New Roman"/>
          <w:b/>
          <w:sz w:val="22"/>
        </w:rPr>
        <w:t xml:space="preserve">(1)  </w:t>
      </w:r>
      <w:r>
        <w:rPr>
          <w:rFonts w:ascii="Times New Roman" w:hAnsi="Times New Roman"/>
          <w:sz w:val="22"/>
        </w:rPr>
        <w:t>the return at optimal skill and the return at absent skill, each expressed as a percentage of the amount committed and stated to one decimal place, presented together and with equal prominence;</w:t>
      </w:r>
    </w:p>
    <w:p>
      <w:pPr>
        <w:ind w:left="864" w:hanging="432"/>
        <w:jc w:val="both"/>
      </w:pPr>
      <w:r>
        <w:rPr>
          <w:rFonts w:ascii="Times New Roman" w:hAnsi="Times New Roman"/>
          <w:b/>
          <w:sz w:val="22"/>
        </w:rPr>
        <w:t xml:space="preserve">(2)  </w:t>
      </w:r>
      <w:r>
        <w:rPr>
          <w:rFonts w:ascii="Times New Roman" w:hAnsi="Times New Roman"/>
          <w:sz w:val="22"/>
        </w:rPr>
        <w:t>the skill influence range;</w:t>
      </w:r>
    </w:p>
    <w:p>
      <w:pPr>
        <w:ind w:left="864" w:hanging="432"/>
        <w:jc w:val="both"/>
      </w:pPr>
      <w:r>
        <w:rPr>
          <w:rFonts w:ascii="Times New Roman" w:hAnsi="Times New Roman"/>
          <w:b/>
          <w:sz w:val="22"/>
        </w:rPr>
        <w:t xml:space="preserve">(3)  </w:t>
      </w:r>
      <w:r>
        <w:rPr>
          <w:rFonts w:ascii="Times New Roman" w:hAnsi="Times New Roman"/>
          <w:sz w:val="22"/>
        </w:rPr>
        <w:t>how each skill element is reached and what the player must do to complete it; and</w:t>
      </w:r>
    </w:p>
    <w:p>
      <w:pPr>
        <w:ind w:left="864" w:hanging="432"/>
        <w:jc w:val="both"/>
      </w:pPr>
      <w:r>
        <w:rPr>
          <w:rFonts w:ascii="Times New Roman" w:hAnsi="Times New Roman"/>
          <w:b/>
          <w:sz w:val="22"/>
        </w:rPr>
        <w:t xml:space="preserve">(4)  </w:t>
      </w:r>
      <w:r>
        <w:rPr>
          <w:rFonts w:ascii="Times New Roman" w:hAnsi="Times New Roman"/>
          <w:sz w:val="22"/>
        </w:rPr>
        <w:t>the median elapsed time required by a proficient player to complete each skill element, and the incremental value returned for completing it.</w:t>
      </w:r>
    </w:p>
    <w:p>
      <w:pPr>
        <w:ind w:left="432" w:hanging="432"/>
        <w:jc w:val="both"/>
      </w:pPr>
      <w:r>
        <w:rPr>
          <w:rFonts w:ascii="Times New Roman" w:hAnsi="Times New Roman"/>
          <w:b/>
          <w:sz w:val="22"/>
        </w:rPr>
        <w:t xml:space="preserve">(d)  </w:t>
      </w:r>
      <w:r>
        <w:rPr>
          <w:rFonts w:ascii="Times New Roman" w:hAnsi="Times New Roman"/>
          <w:b/>
          <w:sz w:val="22"/>
        </w:rPr>
        <w:t>Nominal skill products.</w:t>
      </w:r>
      <w:r>
        <w:rPr>
          <w:rFonts w:ascii="Times New Roman" w:hAnsi="Times New Roman"/>
          <w:sz w:val="22"/>
        </w:rPr>
        <w:t xml:space="preserve"> A covered operator shall not make a skill representation as to a nominal skill product as determined under SBCGS-C § 106(g)(2). A covered operator offering a product that has been classified as a nominal skill product shall, within thirty days of that classification, withdraw every skill representation identified in the classification record or cease to offer the product.</w:t>
      </w:r>
    </w:p>
    <w:p>
      <w:pPr>
        <w:ind w:left="432" w:hanging="432"/>
        <w:jc w:val="both"/>
      </w:pPr>
      <w:r>
        <w:rPr>
          <w:rFonts w:ascii="Times New Roman" w:hAnsi="Times New Roman"/>
          <w:b/>
          <w:sz w:val="22"/>
        </w:rPr>
        <w:t xml:space="preserve">(e)  </w:t>
      </w:r>
      <w:r>
        <w:rPr>
          <w:rFonts w:ascii="Times New Roman" w:hAnsi="Times New Roman"/>
          <w:b/>
          <w:sz w:val="22"/>
        </w:rPr>
        <w:t>Provisional classification.</w:t>
      </w:r>
      <w:r>
        <w:rPr>
          <w:rFonts w:ascii="Times New Roman" w:hAnsi="Times New Roman"/>
          <w:sz w:val="22"/>
        </w:rPr>
        <w:t xml:space="preserve"> Where a product is a provisional demonstrated skill product under SBCGS-C § 106(g)(3), the covered operator shall state in the disclosure that the skill realization rate has not yet been determined.</w:t>
      </w:r>
    </w:p>
    <w:p>
      <w:pPr>
        <w:ind w:left="432" w:hanging="432"/>
        <w:jc w:val="both"/>
      </w:pPr>
      <w:r>
        <w:rPr>
          <w:rFonts w:ascii="Times New Roman" w:hAnsi="Times New Roman"/>
          <w:b/>
          <w:sz w:val="22"/>
        </w:rPr>
        <w:t xml:space="preserve">(f)  </w:t>
      </w:r>
      <w:r>
        <w:rPr>
          <w:rFonts w:ascii="Times New Roman" w:hAnsi="Times New Roman"/>
          <w:b/>
          <w:sz w:val="22"/>
        </w:rPr>
        <w:t>Prohibited statements.</w:t>
      </w:r>
      <w:r>
        <w:rPr>
          <w:rFonts w:ascii="Times New Roman" w:hAnsi="Times New Roman"/>
          <w:sz w:val="22"/>
        </w:rPr>
        <w:t xml:space="preserve"> A covered operator, a licensed organization, and a host location shall not state or imply:</w:t>
      </w:r>
    </w:p>
    <w:p>
      <w:pPr>
        <w:ind w:left="864" w:hanging="432"/>
        <w:jc w:val="both"/>
      </w:pPr>
      <w:r>
        <w:rPr>
          <w:rFonts w:ascii="Times New Roman" w:hAnsi="Times New Roman"/>
          <w:b/>
          <w:sz w:val="22"/>
        </w:rPr>
        <w:t xml:space="preserve">(1)  </w:t>
      </w:r>
      <w:r>
        <w:rPr>
          <w:rFonts w:ascii="Times New Roman" w:hAnsi="Times New Roman"/>
          <w:sz w:val="22"/>
        </w:rPr>
        <w:t>that the outcome of a play depends on skill to a degree greater than the skill influence range supports;</w:t>
      </w:r>
    </w:p>
    <w:p>
      <w:pPr>
        <w:ind w:left="864" w:hanging="432"/>
        <w:jc w:val="both"/>
      </w:pPr>
      <w:r>
        <w:rPr>
          <w:rFonts w:ascii="Times New Roman" w:hAnsi="Times New Roman"/>
          <w:b/>
          <w:sz w:val="22"/>
        </w:rPr>
        <w:t xml:space="preserve">(2)  </w:t>
      </w:r>
      <w:r>
        <w:rPr>
          <w:rFonts w:ascii="Times New Roman" w:hAnsi="Times New Roman"/>
          <w:sz w:val="22"/>
        </w:rPr>
        <w:t>that a player can improve the return by any means other than the skill elements disclosed under subsection (c);</w:t>
      </w:r>
    </w:p>
    <w:p>
      <w:pPr>
        <w:ind w:left="864" w:hanging="432"/>
        <w:jc w:val="both"/>
      </w:pPr>
      <w:r>
        <w:rPr>
          <w:rFonts w:ascii="Times New Roman" w:hAnsi="Times New Roman"/>
          <w:b/>
          <w:sz w:val="22"/>
        </w:rPr>
        <w:t xml:space="preserve">(3)  </w:t>
      </w:r>
      <w:r>
        <w:rPr>
          <w:rFonts w:ascii="Times New Roman" w:hAnsi="Times New Roman"/>
          <w:sz w:val="22"/>
        </w:rPr>
        <w:t>that the product is not gambling, is exempt from gambling law, or has been approved or endorsed by a regulatory authority, unless the statement identifies the authority and the approval and is accurate; or</w:t>
      </w:r>
    </w:p>
    <w:p>
      <w:pPr>
        <w:ind w:left="864" w:hanging="432"/>
        <w:jc w:val="both"/>
      </w:pPr>
      <w:r>
        <w:rPr>
          <w:rFonts w:ascii="Times New Roman" w:hAnsi="Times New Roman"/>
          <w:b/>
          <w:sz w:val="22"/>
        </w:rPr>
        <w:t xml:space="preserve">(4)  </w:t>
      </w:r>
      <w:r>
        <w:rPr>
          <w:rFonts w:ascii="Times New Roman" w:hAnsi="Times New Roman"/>
          <w:sz w:val="22"/>
        </w:rPr>
        <w:t>that a play supports a charitable purpose, except in conformity with Part 500.</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Subsection (c)(1) is the operative disclosure in this document. A player standing in front of a device that says the outcome depends on skill currently has no way to learn what that is worth. Two numbers presented together answer it, and the second of them is the number that describes what a player who never finds the skill element actually receives.</w:t>
      </w:r>
    </w:p>
    <w:p>
      <w:pPr>
        <w:pStyle w:val="Heading2"/>
      </w:pPr>
      <w:r>
        <w:rPr>
          <w:rFonts w:ascii="Times New Roman" w:hAnsi="Times New Roman"/>
          <w:b/>
          <w:color w:val="143C46"/>
          <w:sz w:val="23"/>
        </w:rPr>
        <w:t xml:space="preserve">§ 305.  </w:t>
      </w:r>
      <w:r>
        <w:rPr>
          <w:rFonts w:ascii="Times New Roman" w:hAnsi="Times New Roman"/>
          <w:b/>
          <w:color w:val="000000"/>
          <w:sz w:val="23"/>
        </w:rPr>
        <w:t>Problem gambling program</w:t>
      </w:r>
    </w:p>
    <w:p>
      <w:pPr>
        <w:ind w:left="432" w:hanging="432"/>
        <w:jc w:val="both"/>
      </w:pPr>
      <w:r>
        <w:rPr>
          <w:rFonts w:ascii="Times New Roman" w:hAnsi="Times New Roman"/>
          <w:b/>
          <w:sz w:val="22"/>
        </w:rPr>
        <w:t xml:space="preserve">(a)  </w:t>
      </w:r>
      <w:r>
        <w:rPr>
          <w:rFonts w:ascii="Times New Roman" w:hAnsi="Times New Roman"/>
          <w:sz w:val="22"/>
        </w:rPr>
        <w:t>A covered operator shall maintain a written problem gambling program stating the measures it takes to identify and respond to indications of harm, the training given to employees of covered operators and host locations, the materials made available to players, and the funding it provides.</w:t>
      </w:r>
    </w:p>
    <w:p>
      <w:pPr>
        <w:ind w:left="432" w:hanging="432"/>
        <w:jc w:val="both"/>
      </w:pPr>
      <w:r>
        <w:rPr>
          <w:rFonts w:ascii="Times New Roman" w:hAnsi="Times New Roman"/>
          <w:b/>
          <w:sz w:val="22"/>
        </w:rPr>
        <w:t xml:space="preserve">(b)  </w:t>
      </w:r>
      <w:r>
        <w:rPr>
          <w:rFonts w:ascii="Times New Roman" w:hAnsi="Times New Roman"/>
          <w:sz w:val="22"/>
        </w:rPr>
        <w:t>A covered operator shall fund problem gambling prevention and treatment in an amount not less than three percent of gross gaming revenue from covered products, paid to a governmental program in the jurisdiction where one exists and otherwise to an independent organization providing problem gambling services in that jurisdiction. Payment shall be made not less than quarterly, and the amount and recipient shall be reported under § 602.</w:t>
      </w:r>
    </w:p>
    <w:p>
      <w:pPr>
        <w:spacing w:before="240"/>
        <w:pBdr>
          <w:top w:val="single" w:sz="4" w:space="6" w:color="8A8A8A"/>
        </w:pBdr>
      </w:pPr>
      <w:r>
        <w:rPr>
          <w:rFonts w:ascii="Times New Roman" w:hAnsi="Times New Roman"/>
          <w:i/>
          <w:color w:val="555555"/>
          <w:sz w:val="17"/>
        </w:rPr>
        <w:t>Basis: Pa. H.B. 2557, § 5501 (2026), which directs not less than three percent of gross terminal revenue to the Compulsive and Problem Gambling Treatment Fund.</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The proposed Pennsylvania provision is contingent on a tax being enacted, which makes the funding a share of a collection that does not yet exist. This standard states the obligation as a direct one on the operator, so that it does not depend on a jurisdiction having first built a tax.</w:t>
      </w:r>
    </w:p>
    <w:p>
      <w:pPr>
        <w:ind w:left="432" w:hanging="432"/>
        <w:jc w:val="both"/>
      </w:pPr>
      <w:r>
        <w:rPr>
          <w:rFonts w:ascii="Times New Roman" w:hAnsi="Times New Roman"/>
          <w:b/>
          <w:sz w:val="22"/>
        </w:rPr>
        <w:t xml:space="preserve">(c)  </w:t>
      </w:r>
      <w:r>
        <w:rPr>
          <w:rFonts w:ascii="Times New Roman" w:hAnsi="Times New Roman"/>
          <w:sz w:val="22"/>
        </w:rPr>
        <w:t>A host location shall display, in the area in which covered devices are placed, a sign stating that help for a gambling problem is available and giving the toll-free telephone number of the problem gambling service in the jurisdiction, and a sign stating the minimum age required by § 401.</w:t>
      </w:r>
    </w:p>
    <w:p>
      <w:pPr>
        <w:ind w:left="432" w:hanging="432"/>
        <w:jc w:val="both"/>
      </w:pPr>
      <w:r>
        <w:rPr>
          <w:rFonts w:ascii="Times New Roman" w:hAnsi="Times New Roman"/>
          <w:b/>
          <w:sz w:val="22"/>
        </w:rPr>
        <w:t xml:space="preserve">(d)  </w:t>
      </w:r>
      <w:r>
        <w:rPr>
          <w:rFonts w:ascii="Times New Roman" w:hAnsi="Times New Roman"/>
          <w:sz w:val="22"/>
        </w:rPr>
        <w:t>A covered operator shall make available at each host location printed materials on problem gambling, in the form the jurisdiction prescribes where it prescribes one.</w:t>
      </w:r>
    </w:p>
    <w:p>
      <w:pPr>
        <w:ind w:left="432" w:hanging="432"/>
        <w:jc w:val="both"/>
      </w:pPr>
      <w:r>
        <w:rPr>
          <w:rFonts w:ascii="Times New Roman" w:hAnsi="Times New Roman"/>
          <w:b/>
          <w:sz w:val="22"/>
        </w:rPr>
        <w:t xml:space="preserve">(e)  </w:t>
      </w:r>
      <w:r>
        <w:rPr>
          <w:rFonts w:ascii="Times New Roman" w:hAnsi="Times New Roman"/>
          <w:sz w:val="22"/>
        </w:rPr>
        <w:t>A host location shall ensure that at least one individual who has completed the training required by § 204(e) is present on the premises during every period in which a covered device is available for play.</w:t>
      </w:r>
    </w:p>
    <w:p>
      <w:pPr>
        <w:ind w:left="432" w:hanging="432"/>
        <w:jc w:val="both"/>
      </w:pPr>
      <w:r>
        <w:rPr>
          <w:rFonts w:ascii="Times New Roman" w:hAnsi="Times New Roman"/>
          <w:b/>
          <w:sz w:val="22"/>
        </w:rPr>
        <w:t xml:space="preserve">(f)  </w:t>
      </w:r>
      <w:r>
        <w:rPr>
          <w:rFonts w:ascii="Times New Roman" w:hAnsi="Times New Roman"/>
          <w:sz w:val="22"/>
        </w:rPr>
        <w:t>A covered operator shall not permit a person who appears visibly intoxicated to commence play on a covered device, and a host location shall not permit such a person to do so on its premises.</w:t>
      </w:r>
    </w:p>
    <w:p>
      <w:pPr>
        <w:pStyle w:val="Heading2"/>
      </w:pPr>
      <w:r>
        <w:rPr>
          <w:rFonts w:ascii="Times New Roman" w:hAnsi="Times New Roman"/>
          <w:b/>
          <w:color w:val="143C46"/>
          <w:sz w:val="23"/>
        </w:rPr>
        <w:t xml:space="preserve">§ 306.  </w:t>
      </w:r>
      <w:r>
        <w:rPr>
          <w:rFonts w:ascii="Times New Roman" w:hAnsi="Times New Roman"/>
          <w:b/>
          <w:color w:val="000000"/>
          <w:sz w:val="23"/>
        </w:rPr>
        <w:t>Complaints and disputes</w:t>
      </w:r>
    </w:p>
    <w:p>
      <w:pPr>
        <w:ind w:left="432" w:hanging="432"/>
        <w:jc w:val="both"/>
      </w:pPr>
      <w:r>
        <w:rPr>
          <w:rFonts w:ascii="Times New Roman" w:hAnsi="Times New Roman"/>
          <w:b/>
          <w:sz w:val="22"/>
        </w:rPr>
        <w:t xml:space="preserve">(a)  </w:t>
      </w:r>
      <w:r>
        <w:rPr>
          <w:rFonts w:ascii="Times New Roman" w:hAnsi="Times New Roman"/>
          <w:sz w:val="22"/>
        </w:rPr>
        <w:t>A covered operator shall maintain a procedure by which a player may make a complaint, including a complaint about the operation of a covered device, the amount of an award, a refusal to pay an award, or the conduct of a host location.</w:t>
      </w:r>
    </w:p>
    <w:p>
      <w:pPr>
        <w:ind w:left="432" w:hanging="432"/>
        <w:jc w:val="both"/>
      </w:pPr>
      <w:r>
        <w:rPr>
          <w:rFonts w:ascii="Times New Roman" w:hAnsi="Times New Roman"/>
          <w:b/>
          <w:sz w:val="22"/>
        </w:rPr>
        <w:t xml:space="preserve">(b)  </w:t>
      </w:r>
      <w:r>
        <w:rPr>
          <w:rFonts w:ascii="Times New Roman" w:hAnsi="Times New Roman"/>
          <w:sz w:val="22"/>
        </w:rPr>
        <w:t>The procedure shall be available at the covered device without the assistance of an employee and shall not require the player to attend the host location.</w:t>
      </w:r>
    </w:p>
    <w:p>
      <w:pPr>
        <w:ind w:left="432" w:hanging="432"/>
        <w:jc w:val="both"/>
      </w:pPr>
      <w:r>
        <w:rPr>
          <w:rFonts w:ascii="Times New Roman" w:hAnsi="Times New Roman"/>
          <w:b/>
          <w:sz w:val="22"/>
        </w:rPr>
        <w:t xml:space="preserve">(c)  </w:t>
      </w:r>
      <w:r>
        <w:rPr>
          <w:rFonts w:ascii="Times New Roman" w:hAnsi="Times New Roman"/>
          <w:sz w:val="22"/>
        </w:rPr>
        <w:t>A covered operator shall acknowledge a complaint within three business days and shall resolve it within thirty days, and shall state in writing to the player the outcome and the reasons for it.</w:t>
      </w:r>
    </w:p>
    <w:p>
      <w:pPr>
        <w:ind w:left="432" w:hanging="432"/>
        <w:jc w:val="both"/>
      </w:pPr>
      <w:r>
        <w:rPr>
          <w:rFonts w:ascii="Times New Roman" w:hAnsi="Times New Roman"/>
          <w:b/>
          <w:sz w:val="22"/>
        </w:rPr>
        <w:t xml:space="preserve">(d)  </w:t>
      </w:r>
      <w:r>
        <w:rPr>
          <w:rFonts w:ascii="Times New Roman" w:hAnsi="Times New Roman"/>
          <w:sz w:val="22"/>
        </w:rPr>
        <w:t>A covered operator shall preserve the game recall data required by SBCGS-T § 861 for the plays to which a complaint relates until the complaint is resolved and for two years thereafter.</w:t>
      </w:r>
    </w:p>
    <w:p>
      <w:pPr>
        <w:ind w:left="432" w:hanging="432"/>
        <w:jc w:val="both"/>
      </w:pPr>
      <w:r>
        <w:rPr>
          <w:rFonts w:ascii="Times New Roman" w:hAnsi="Times New Roman"/>
          <w:b/>
          <w:sz w:val="22"/>
        </w:rPr>
        <w:t xml:space="preserve">(e)  </w:t>
      </w:r>
      <w:r>
        <w:rPr>
          <w:rFonts w:ascii="Times New Roman" w:hAnsi="Times New Roman"/>
          <w:sz w:val="22"/>
        </w:rPr>
        <w:t>A covered operator shall maintain a register of complaints stating the date, the covered device, the subject, the outcome, and the elapsed time to resolution, and shall report the register under § 602.</w:t>
      </w:r>
    </w:p>
    <w:p>
      <w:pPr>
        <w:ind w:left="432" w:hanging="432"/>
        <w:jc w:val="both"/>
      </w:pPr>
      <w:r>
        <w:rPr>
          <w:rFonts w:ascii="Times New Roman" w:hAnsi="Times New Roman"/>
          <w:b/>
          <w:sz w:val="22"/>
        </w:rPr>
        <w:t xml:space="preserve">(f)  </w:t>
      </w:r>
      <w:r>
        <w:rPr>
          <w:rFonts w:ascii="Times New Roman" w:hAnsi="Times New Roman"/>
          <w:sz w:val="22"/>
        </w:rPr>
        <w:t>A covered operator shall not condition payment of an award on the player waiving a right, or on the player refraining from making a complaint to a regulatory authority.</w:t>
      </w:r>
    </w:p>
    <w:p>
      <w:pPr>
        <w:pStyle w:val="Heading2"/>
      </w:pPr>
      <w:r>
        <w:rPr>
          <w:rFonts w:ascii="Times New Roman" w:hAnsi="Times New Roman"/>
          <w:b/>
          <w:color w:val="143C46"/>
          <w:sz w:val="23"/>
        </w:rPr>
        <w:t xml:space="preserve">§ 307.  </w:t>
      </w:r>
      <w:r>
        <w:rPr>
          <w:rFonts w:ascii="Times New Roman" w:hAnsi="Times New Roman"/>
          <w:b/>
          <w:color w:val="000000"/>
          <w:sz w:val="23"/>
        </w:rPr>
        <w:t>Advertising and promotion</w:t>
      </w:r>
    </w:p>
    <w:p>
      <w:pPr>
        <w:ind w:left="432" w:hanging="432"/>
        <w:jc w:val="both"/>
      </w:pPr>
      <w:r>
        <w:rPr>
          <w:rFonts w:ascii="Times New Roman" w:hAnsi="Times New Roman"/>
          <w:b/>
          <w:sz w:val="22"/>
        </w:rPr>
        <w:t xml:space="preserve">(a)  </w:t>
      </w:r>
      <w:r>
        <w:rPr>
          <w:rFonts w:ascii="Times New Roman" w:hAnsi="Times New Roman"/>
          <w:sz w:val="22"/>
        </w:rPr>
        <w:t>A covered operator, a licensed organization, and a host location shall not advertise or promote a covered product in a manner that:</w:t>
      </w:r>
    </w:p>
    <w:p>
      <w:pPr>
        <w:ind w:left="864" w:hanging="432"/>
        <w:jc w:val="both"/>
      </w:pPr>
      <w:r>
        <w:rPr>
          <w:rFonts w:ascii="Times New Roman" w:hAnsi="Times New Roman"/>
          <w:b/>
          <w:sz w:val="22"/>
        </w:rPr>
        <w:t xml:space="preserve">(1)  </w:t>
      </w:r>
      <w:r>
        <w:rPr>
          <w:rFonts w:ascii="Times New Roman" w:hAnsi="Times New Roman"/>
          <w:sz w:val="22"/>
        </w:rPr>
        <w:t>targets or is likely to appeal to a person below the minimum age stated in § 401;</w:t>
      </w:r>
    </w:p>
    <w:p>
      <w:pPr>
        <w:ind w:left="864" w:hanging="432"/>
        <w:jc w:val="both"/>
      </w:pPr>
      <w:r>
        <w:rPr>
          <w:rFonts w:ascii="Times New Roman" w:hAnsi="Times New Roman"/>
          <w:b/>
          <w:sz w:val="22"/>
        </w:rPr>
        <w:t xml:space="preserve">(2)  </w:t>
      </w:r>
      <w:r>
        <w:rPr>
          <w:rFonts w:ascii="Times New Roman" w:hAnsi="Times New Roman"/>
          <w:sz w:val="22"/>
        </w:rPr>
        <w:t>is presented in, on, or adjacent to a school, a place of worship, a treatment facility, or a facility providing services to persons in financial hardship;</w:t>
      </w:r>
    </w:p>
    <w:p>
      <w:pPr>
        <w:ind w:left="864" w:hanging="432"/>
        <w:jc w:val="both"/>
      </w:pPr>
      <w:r>
        <w:rPr>
          <w:rFonts w:ascii="Times New Roman" w:hAnsi="Times New Roman"/>
          <w:b/>
          <w:sz w:val="22"/>
        </w:rPr>
        <w:t xml:space="preserve">(3)  </w:t>
      </w:r>
      <w:r>
        <w:rPr>
          <w:rFonts w:ascii="Times New Roman" w:hAnsi="Times New Roman"/>
          <w:sz w:val="22"/>
        </w:rPr>
        <w:t>represents play as a solution to financial difficulty, as a source of income, or as a means of social or personal success;</w:t>
      </w:r>
    </w:p>
    <w:p>
      <w:pPr>
        <w:ind w:left="864" w:hanging="432"/>
        <w:jc w:val="both"/>
      </w:pPr>
      <w:r>
        <w:rPr>
          <w:rFonts w:ascii="Times New Roman" w:hAnsi="Times New Roman"/>
          <w:b/>
          <w:sz w:val="22"/>
        </w:rPr>
        <w:t xml:space="preserve">(4)  </w:t>
      </w:r>
      <w:r>
        <w:rPr>
          <w:rFonts w:ascii="Times New Roman" w:hAnsi="Times New Roman"/>
          <w:sz w:val="22"/>
        </w:rPr>
        <w:t>states or implies a rate of winning that the award schedule does not support; or</w:t>
      </w:r>
    </w:p>
    <w:p>
      <w:pPr>
        <w:ind w:left="864" w:hanging="432"/>
        <w:jc w:val="both"/>
      </w:pPr>
      <w:r>
        <w:rPr>
          <w:rFonts w:ascii="Times New Roman" w:hAnsi="Times New Roman"/>
          <w:b/>
          <w:sz w:val="22"/>
        </w:rPr>
        <w:t xml:space="preserve">(5)  </w:t>
      </w:r>
      <w:r>
        <w:rPr>
          <w:rFonts w:ascii="Times New Roman" w:hAnsi="Times New Roman"/>
          <w:sz w:val="22"/>
        </w:rPr>
        <w:t>makes a skill representation contrary to § 304(d) or (f).</w:t>
      </w:r>
    </w:p>
    <w:p>
      <w:pPr>
        <w:ind w:left="432" w:hanging="432"/>
        <w:jc w:val="both"/>
      </w:pPr>
      <w:r>
        <w:rPr>
          <w:rFonts w:ascii="Times New Roman" w:hAnsi="Times New Roman"/>
          <w:b/>
          <w:sz w:val="22"/>
        </w:rPr>
        <w:t xml:space="preserve">(b)  </w:t>
      </w:r>
      <w:r>
        <w:rPr>
          <w:rFonts w:ascii="Times New Roman" w:hAnsi="Times New Roman"/>
          <w:sz w:val="22"/>
        </w:rPr>
        <w:t>Advertising for a covered product shall state the toll-free telephone number of the problem gambling service in the jurisdiction.</w:t>
      </w:r>
    </w:p>
    <w:p>
      <w:pPr>
        <w:ind w:left="432" w:hanging="432"/>
        <w:jc w:val="both"/>
      </w:pPr>
      <w:r>
        <w:rPr>
          <w:rFonts w:ascii="Times New Roman" w:hAnsi="Times New Roman"/>
          <w:b/>
          <w:sz w:val="22"/>
        </w:rPr>
        <w:t xml:space="preserve">(c)  </w:t>
      </w:r>
      <w:r>
        <w:rPr>
          <w:rFonts w:ascii="Times New Roman" w:hAnsi="Times New Roman"/>
          <w:sz w:val="22"/>
        </w:rPr>
        <w:t>A covered operator shall not offer a promotion that is conditioned on a level of play, on continued play, or on recovery of a prior loss.</w:t>
      </w:r>
    </w:p>
    <w:p>
      <w:pPr>
        <w:ind w:left="432" w:hanging="432"/>
        <w:jc w:val="both"/>
      </w:pPr>
      <w:r>
        <w:rPr>
          <w:rFonts w:ascii="Times New Roman" w:hAnsi="Times New Roman"/>
          <w:b/>
          <w:sz w:val="22"/>
        </w:rPr>
        <w:t xml:space="preserve">(d)  </w:t>
      </w:r>
      <w:r>
        <w:rPr>
          <w:rFonts w:ascii="Times New Roman" w:hAnsi="Times New Roman"/>
          <w:sz w:val="22"/>
        </w:rPr>
        <w:t>A covered operator shall not make a payment to a host location that is determined by reference to the number of players introduced or to the losses of an identified player.</w:t>
      </w:r>
    </w:p>
    <w:p>
      <w:r>
        <w:br w:type="page"/>
      </w:r>
    </w:p>
    <w:p>
      <w:pPr>
        <w:spacing w:after="40"/>
      </w:pPr>
      <w:r>
        <w:rPr>
          <w:rFonts w:ascii="Calibri" w:hAnsi="Calibri"/>
          <w:b/>
          <w:color w:val="143C46"/>
          <w:sz w:val="18"/>
        </w:rPr>
        <w:t>PART 400</w:t>
      </w:r>
    </w:p>
    <w:p>
      <w:pPr>
        <w:pStyle w:val="Heading1"/>
        <w:spacing w:before="0"/>
        <w:pBdr>
          <w:bottom w:val="single" w:sz="8" w:space="6" w:color="143C46"/>
        </w:pBdr>
      </w:pPr>
      <w:r>
        <w:rPr>
          <w:rFonts w:ascii="Times New Roman" w:hAnsi="Times New Roman"/>
          <w:b/>
          <w:color w:val="000000"/>
          <w:sz w:val="30"/>
        </w:rPr>
        <w:t>Access, Placement, and Integrity</w:t>
      </w:r>
    </w:p>
    <w:p>
      <w:pPr>
        <w:pStyle w:val="Heading2"/>
      </w:pPr>
      <w:r>
        <w:rPr>
          <w:rFonts w:ascii="Times New Roman" w:hAnsi="Times New Roman"/>
          <w:b/>
          <w:color w:val="143C46"/>
          <w:sz w:val="23"/>
        </w:rPr>
        <w:t xml:space="preserve">§ 401.  </w:t>
      </w:r>
      <w:r>
        <w:rPr>
          <w:rFonts w:ascii="Times New Roman" w:hAnsi="Times New Roman"/>
          <w:b/>
          <w:color w:val="000000"/>
          <w:sz w:val="23"/>
        </w:rPr>
        <w:t>Age and identity verification</w:t>
      </w:r>
    </w:p>
    <w:p>
      <w:pPr>
        <w:ind w:left="432" w:hanging="432"/>
        <w:jc w:val="both"/>
      </w:pPr>
      <w:r>
        <w:rPr>
          <w:rFonts w:ascii="Times New Roman" w:hAnsi="Times New Roman"/>
          <w:b/>
          <w:sz w:val="22"/>
        </w:rPr>
        <w:t xml:space="preserve">(a)  </w:t>
      </w:r>
      <w:r>
        <w:rPr>
          <w:rFonts w:ascii="Times New Roman" w:hAnsi="Times New Roman"/>
          <w:sz w:val="22"/>
        </w:rPr>
        <w:t>A covered operator shall not permit a person below twenty one years of age to play a covered product, and shall not permit a person to play a covered product without first verifying age.</w:t>
      </w:r>
    </w:p>
    <w:p>
      <w:pPr>
        <w:ind w:left="432" w:hanging="432"/>
        <w:jc w:val="both"/>
      </w:pPr>
      <w:r>
        <w:rPr>
          <w:rFonts w:ascii="Times New Roman" w:hAnsi="Times New Roman"/>
          <w:b/>
          <w:sz w:val="22"/>
        </w:rPr>
        <w:t xml:space="preserve">(b)  </w:t>
      </w:r>
      <w:r>
        <w:rPr>
          <w:rFonts w:ascii="Times New Roman" w:hAnsi="Times New Roman"/>
          <w:sz w:val="22"/>
        </w:rPr>
        <w:t>Verification shall be performed at the covered device before consideration is accepted, by one of the following:</w:t>
      </w:r>
    </w:p>
    <w:p>
      <w:pPr>
        <w:ind w:left="864" w:hanging="432"/>
        <w:jc w:val="both"/>
      </w:pPr>
      <w:r>
        <w:rPr>
          <w:rFonts w:ascii="Times New Roman" w:hAnsi="Times New Roman"/>
          <w:b/>
          <w:sz w:val="22"/>
        </w:rPr>
        <w:t xml:space="preserve">(1)  </w:t>
      </w:r>
      <w:r>
        <w:rPr>
          <w:rFonts w:ascii="Times New Roman" w:hAnsi="Times New Roman"/>
          <w:sz w:val="22"/>
        </w:rPr>
        <w:t>reading a government issued identification document and confirming its validity;</w:t>
      </w:r>
    </w:p>
    <w:p>
      <w:pPr>
        <w:ind w:left="864" w:hanging="432"/>
        <w:jc w:val="both"/>
      </w:pPr>
      <w:r>
        <w:rPr>
          <w:rFonts w:ascii="Times New Roman" w:hAnsi="Times New Roman"/>
          <w:b/>
          <w:sz w:val="22"/>
        </w:rPr>
        <w:t xml:space="preserve">(2)  </w:t>
      </w:r>
      <w:r>
        <w:rPr>
          <w:rFonts w:ascii="Times New Roman" w:hAnsi="Times New Roman"/>
          <w:sz w:val="22"/>
        </w:rPr>
        <w:t>authentication to a player account established by a process that verified the holder's identity and age against an independent data source; or</w:t>
      </w:r>
    </w:p>
    <w:p>
      <w:pPr>
        <w:ind w:left="864" w:hanging="432"/>
        <w:jc w:val="both"/>
      </w:pPr>
      <w:r>
        <w:rPr>
          <w:rFonts w:ascii="Times New Roman" w:hAnsi="Times New Roman"/>
          <w:b/>
          <w:sz w:val="22"/>
        </w:rPr>
        <w:t xml:space="preserve">(3)  </w:t>
      </w:r>
      <w:r>
        <w:rPr>
          <w:rFonts w:ascii="Times New Roman" w:hAnsi="Times New Roman"/>
          <w:sz w:val="22"/>
        </w:rPr>
        <w:t>a method the jurisdiction has approved for the verification of age at a gaming device.</w:t>
      </w:r>
    </w:p>
    <w:p>
      <w:pPr>
        <w:spacing w:before="240"/>
        <w:pBdr>
          <w:top w:val="single" w:sz="4" w:space="6" w:color="8A8A8A"/>
        </w:pBdr>
      </w:pPr>
      <w:r>
        <w:rPr>
          <w:rFonts w:ascii="Times New Roman" w:hAnsi="Times New Roman"/>
          <w:i/>
          <w:color w:val="555555"/>
          <w:sz w:val="17"/>
        </w:rPr>
        <w:t>Basis: Pa. H.B. 2557, § 5303 (2026).</w:t>
      </w:r>
    </w:p>
    <w:p>
      <w:pPr>
        <w:ind w:left="432" w:hanging="432"/>
        <w:jc w:val="both"/>
      </w:pPr>
      <w:r>
        <w:rPr>
          <w:rFonts w:ascii="Times New Roman" w:hAnsi="Times New Roman"/>
          <w:b/>
          <w:sz w:val="22"/>
        </w:rPr>
        <w:t xml:space="preserve">(c)  </w:t>
      </w:r>
      <w:r>
        <w:rPr>
          <w:rFonts w:ascii="Times New Roman" w:hAnsi="Times New Roman"/>
          <w:sz w:val="22"/>
        </w:rPr>
        <w:t>A covered operator shall re-verify a player account holder's identity at intervals not exceeding three years and upon any change to the name, address, or payment instrument on the account.</w:t>
      </w:r>
    </w:p>
    <w:p>
      <w:pPr>
        <w:ind w:left="432" w:hanging="432"/>
        <w:jc w:val="both"/>
      </w:pPr>
      <w:r>
        <w:rPr>
          <w:rFonts w:ascii="Times New Roman" w:hAnsi="Times New Roman"/>
          <w:b/>
          <w:sz w:val="22"/>
        </w:rPr>
        <w:t xml:space="preserve">(d)  </w:t>
      </w:r>
      <w:r>
        <w:rPr>
          <w:rFonts w:ascii="Times New Roman" w:hAnsi="Times New Roman"/>
          <w:b/>
          <w:sz w:val="22"/>
        </w:rPr>
        <w:t>Limited anonymous play.</w:t>
      </w:r>
      <w:r>
        <w:rPr>
          <w:rFonts w:ascii="Times New Roman" w:hAnsi="Times New Roman"/>
          <w:sz w:val="22"/>
        </w:rPr>
        <w:t xml:space="preserve"> Where a jurisdiction permits play without verification of identity, a covered operator may permit it only where all of the following are true, and the operator shall record each session conducted under this subsection:</w:t>
      </w:r>
    </w:p>
    <w:p>
      <w:pPr>
        <w:ind w:left="864" w:hanging="432"/>
        <w:jc w:val="both"/>
      </w:pPr>
      <w:r>
        <w:rPr>
          <w:rFonts w:ascii="Times New Roman" w:hAnsi="Times New Roman"/>
          <w:b/>
          <w:sz w:val="22"/>
        </w:rPr>
        <w:t xml:space="preserve">(1)  </w:t>
      </w:r>
      <w:r>
        <w:rPr>
          <w:rFonts w:ascii="Times New Roman" w:hAnsi="Times New Roman"/>
          <w:sz w:val="22"/>
        </w:rPr>
        <w:t>age has been verified under subsection (b) notwithstanding that identity is not recorded;</w:t>
      </w:r>
    </w:p>
    <w:p>
      <w:pPr>
        <w:ind w:left="864" w:hanging="432"/>
        <w:jc w:val="both"/>
      </w:pPr>
      <w:r>
        <w:rPr>
          <w:rFonts w:ascii="Times New Roman" w:hAnsi="Times New Roman"/>
          <w:b/>
          <w:sz w:val="22"/>
        </w:rPr>
        <w:t xml:space="preserve">(2)  </w:t>
      </w:r>
      <w:r>
        <w:rPr>
          <w:rFonts w:ascii="Times New Roman" w:hAnsi="Times New Roman"/>
          <w:sz w:val="22"/>
        </w:rPr>
        <w:t>the amount that may be committed in the session does not exceed fifty dollars;</w:t>
      </w:r>
    </w:p>
    <w:p>
      <w:pPr>
        <w:ind w:left="864" w:hanging="432"/>
        <w:jc w:val="both"/>
      </w:pPr>
      <w:r>
        <w:rPr>
          <w:rFonts w:ascii="Times New Roman" w:hAnsi="Times New Roman"/>
          <w:b/>
          <w:sz w:val="22"/>
        </w:rPr>
        <w:t xml:space="preserve">(3)  </w:t>
      </w:r>
      <w:r>
        <w:rPr>
          <w:rFonts w:ascii="Times New Roman" w:hAnsi="Times New Roman"/>
          <w:sz w:val="22"/>
        </w:rPr>
        <w:t>the exclusion enforcement required by § 301(e) is performed to the extent the available identification permits; and</w:t>
      </w:r>
    </w:p>
    <w:p>
      <w:pPr>
        <w:ind w:left="864" w:hanging="432"/>
        <w:jc w:val="both"/>
      </w:pPr>
      <w:r>
        <w:rPr>
          <w:rFonts w:ascii="Times New Roman" w:hAnsi="Times New Roman"/>
          <w:b/>
          <w:sz w:val="22"/>
        </w:rPr>
        <w:t xml:space="preserve">(4)  </w:t>
      </w:r>
      <w:r>
        <w:rPr>
          <w:rFonts w:ascii="Times New Roman" w:hAnsi="Times New Roman"/>
          <w:sz w:val="22"/>
        </w:rPr>
        <w:t>the aggregate of sessions conducted under this subsection at a covered device does not exceed twenty percent of sessions at that device in a calendar quarter.</w:t>
      </w:r>
    </w:p>
    <w:p>
      <w:pPr>
        <w:ind w:left="432" w:hanging="432"/>
        <w:jc w:val="both"/>
      </w:pPr>
      <w:r>
        <w:rPr>
          <w:rFonts w:ascii="Times New Roman" w:hAnsi="Times New Roman"/>
          <w:b/>
          <w:sz w:val="22"/>
        </w:rPr>
        <w:t xml:space="preserve">(e)  </w:t>
      </w:r>
      <w:r>
        <w:rPr>
          <w:rFonts w:ascii="Times New Roman" w:hAnsi="Times New Roman"/>
          <w:sz w:val="22"/>
        </w:rPr>
        <w:t>A host location shall not permit a person below twenty one years of age to enter an area in which covered devices are placed.</w:t>
      </w:r>
    </w:p>
    <w:p>
      <w:pPr>
        <w:pStyle w:val="Heading2"/>
      </w:pPr>
      <w:r>
        <w:rPr>
          <w:rFonts w:ascii="Times New Roman" w:hAnsi="Times New Roman"/>
          <w:b/>
          <w:color w:val="143C46"/>
          <w:sz w:val="23"/>
        </w:rPr>
        <w:t xml:space="preserve">§ 402.  </w:t>
      </w:r>
      <w:r>
        <w:rPr>
          <w:rFonts w:ascii="Times New Roman" w:hAnsi="Times New Roman"/>
          <w:b/>
          <w:color w:val="000000"/>
          <w:sz w:val="23"/>
        </w:rPr>
        <w:t>Placement</w:t>
      </w:r>
    </w:p>
    <w:p>
      <w:pPr>
        <w:ind w:left="432" w:hanging="432"/>
        <w:jc w:val="both"/>
      </w:pPr>
      <w:r>
        <w:rPr>
          <w:rFonts w:ascii="Times New Roman" w:hAnsi="Times New Roman"/>
          <w:b/>
          <w:sz w:val="22"/>
        </w:rPr>
        <w:t xml:space="preserve">(a)  </w:t>
      </w:r>
      <w:r>
        <w:rPr>
          <w:rFonts w:ascii="Times New Roman" w:hAnsi="Times New Roman"/>
          <w:sz w:val="22"/>
        </w:rPr>
        <w:t>A covered operator and a licensed organization shall not place a covered device, and a host location shall not permit a covered device to be placed, except on premises where:</w:t>
      </w:r>
    </w:p>
    <w:p>
      <w:pPr>
        <w:ind w:left="864" w:hanging="432"/>
        <w:jc w:val="both"/>
      </w:pPr>
      <w:r>
        <w:rPr>
          <w:rFonts w:ascii="Times New Roman" w:hAnsi="Times New Roman"/>
          <w:b/>
          <w:sz w:val="22"/>
        </w:rPr>
        <w:t xml:space="preserve">(1)  </w:t>
      </w:r>
      <w:r>
        <w:rPr>
          <w:rFonts w:ascii="Times New Roman" w:hAnsi="Times New Roman"/>
          <w:sz w:val="22"/>
        </w:rPr>
        <w:t>access to the area in which the device is placed is controlled so that a person below twenty one years of age cannot enter it; and</w:t>
      </w:r>
    </w:p>
    <w:p>
      <w:pPr>
        <w:ind w:left="864" w:hanging="432"/>
        <w:jc w:val="both"/>
      </w:pPr>
      <w:r>
        <w:rPr>
          <w:rFonts w:ascii="Times New Roman" w:hAnsi="Times New Roman"/>
          <w:b/>
          <w:sz w:val="22"/>
        </w:rPr>
        <w:t xml:space="preserve">(2)  </w:t>
      </w:r>
      <w:r>
        <w:rPr>
          <w:rFonts w:ascii="Times New Roman" w:hAnsi="Times New Roman"/>
          <w:sz w:val="22"/>
        </w:rPr>
        <w:t>an individual meeting § 305(e) is present during every period in which the device is available for play.</w:t>
      </w:r>
    </w:p>
    <w:p>
      <w:pPr>
        <w:ind w:left="432" w:hanging="432"/>
        <w:jc w:val="both"/>
      </w:pPr>
      <w:r>
        <w:rPr>
          <w:rFonts w:ascii="Times New Roman" w:hAnsi="Times New Roman"/>
          <w:b/>
          <w:sz w:val="22"/>
        </w:rPr>
        <w:t xml:space="preserve">(b)  </w:t>
      </w:r>
      <w:r>
        <w:rPr>
          <w:rFonts w:ascii="Times New Roman" w:hAnsi="Times New Roman"/>
          <w:sz w:val="22"/>
        </w:rPr>
        <w:t>A covered device shall not be placed on the premises of a school, a place of worship other than in an area to which subsection (a) applies, a facility providing treatment for substance use or gambling disorder, a facility providing services to persons experiencing homelessness or financial hardship, or a facility whose principal business is cashing checks or making short term consumer loans.</w:t>
      </w:r>
    </w:p>
    <w:p>
      <w:pPr>
        <w:ind w:left="432" w:hanging="432"/>
        <w:jc w:val="both"/>
      </w:pPr>
      <w:r>
        <w:rPr>
          <w:rFonts w:ascii="Times New Roman" w:hAnsi="Times New Roman"/>
          <w:b/>
          <w:sz w:val="22"/>
        </w:rPr>
        <w:t xml:space="preserve">(c)  </w:t>
      </w:r>
      <w:r>
        <w:rPr>
          <w:rFonts w:ascii="Times New Roman" w:hAnsi="Times New Roman"/>
          <w:sz w:val="22"/>
        </w:rPr>
        <w:t>A covered operator shall maintain a record of the location of every covered device it offers, including the address, the type of premises, the number of devices, and the date of placement and removal.</w:t>
      </w:r>
    </w:p>
    <w:p>
      <w:pPr>
        <w:ind w:left="432" w:hanging="432"/>
        <w:jc w:val="both"/>
      </w:pPr>
      <w:r>
        <w:rPr>
          <w:rFonts w:ascii="Times New Roman" w:hAnsi="Times New Roman"/>
          <w:b/>
          <w:sz w:val="22"/>
        </w:rPr>
        <w:t xml:space="preserve">(d)  </w:t>
      </w:r>
      <w:r>
        <w:rPr>
          <w:rFonts w:ascii="Times New Roman" w:hAnsi="Times New Roman"/>
          <w:sz w:val="22"/>
        </w:rPr>
        <w:t>A covered operator shall report annually under § 602 the number of covered devices it operates in each census tract in which it operates, and the gross gaming revenue derived from those devices.</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Subsection (d) produces the only dataset that would allow anyone to test the finding that motivated the Virginia veto of April 10, 2026: that these devices concentrate in communities with lower income, higher poverty, and lower educational attainment. The Institute takes no position on whether that finding generalizes. It states the reporting requirement because the question is answerable and no framework in force collects the data that would answer it.</w:t>
      </w:r>
    </w:p>
    <w:p>
      <w:pPr>
        <w:spacing w:before="240"/>
        <w:pBdr>
          <w:top w:val="single" w:sz="4" w:space="6" w:color="8A8A8A"/>
        </w:pBdr>
      </w:pPr>
      <w:r>
        <w:rPr>
          <w:rFonts w:ascii="Times New Roman" w:hAnsi="Times New Roman"/>
          <w:i/>
          <w:color w:val="555555"/>
          <w:sz w:val="17"/>
        </w:rPr>
        <w:t>Basis: Statement of the Governor of Virginia on the veto of S.B. 661, April 10, 2026.</w:t>
      </w:r>
    </w:p>
    <w:p>
      <w:pPr>
        <w:ind w:left="432" w:hanging="432"/>
        <w:jc w:val="both"/>
      </w:pPr>
      <w:r>
        <w:rPr>
          <w:rFonts w:ascii="Times New Roman" w:hAnsi="Times New Roman"/>
          <w:b/>
          <w:sz w:val="22"/>
        </w:rPr>
        <w:t xml:space="preserve">(e)  </w:t>
      </w:r>
      <w:r>
        <w:rPr>
          <w:rFonts w:ascii="Times New Roman" w:hAnsi="Times New Roman"/>
          <w:sz w:val="22"/>
        </w:rPr>
        <w:t>A covered operator shall comply with any restriction on the number or placement of covered devices imposed by the jurisdiction or by the political subdivision in which the host location is situated.</w:t>
      </w:r>
    </w:p>
    <w:p>
      <w:pPr>
        <w:pStyle w:val="Heading2"/>
      </w:pPr>
      <w:r>
        <w:rPr>
          <w:rFonts w:ascii="Times New Roman" w:hAnsi="Times New Roman"/>
          <w:b/>
          <w:color w:val="143C46"/>
          <w:sz w:val="23"/>
        </w:rPr>
        <w:t xml:space="preserve">§ 403.  </w:t>
      </w:r>
      <w:r>
        <w:rPr>
          <w:rFonts w:ascii="Times New Roman" w:hAnsi="Times New Roman"/>
          <w:b/>
          <w:color w:val="000000"/>
          <w:sz w:val="23"/>
        </w:rPr>
        <w:t>Prohibited persons and conduct</w:t>
      </w:r>
    </w:p>
    <w:p>
      <w:pPr>
        <w:ind w:left="432" w:hanging="432"/>
        <w:jc w:val="both"/>
      </w:pPr>
      <w:r>
        <w:rPr>
          <w:rFonts w:ascii="Times New Roman" w:hAnsi="Times New Roman"/>
          <w:b/>
          <w:sz w:val="22"/>
        </w:rPr>
        <w:t xml:space="preserve">(a)  </w:t>
      </w:r>
      <w:r>
        <w:rPr>
          <w:rFonts w:ascii="Times New Roman" w:hAnsi="Times New Roman"/>
          <w:sz w:val="22"/>
        </w:rPr>
        <w:t>A covered operator shall not permit the following persons to play a covered product it offers:</w:t>
      </w:r>
    </w:p>
    <w:p>
      <w:pPr>
        <w:ind w:left="864" w:hanging="432"/>
        <w:jc w:val="both"/>
      </w:pPr>
      <w:r>
        <w:rPr>
          <w:rFonts w:ascii="Times New Roman" w:hAnsi="Times New Roman"/>
          <w:b/>
          <w:sz w:val="22"/>
        </w:rPr>
        <w:t xml:space="preserve">(1)  </w:t>
      </w:r>
      <w:r>
        <w:rPr>
          <w:rFonts w:ascii="Times New Roman" w:hAnsi="Times New Roman"/>
          <w:sz w:val="22"/>
        </w:rPr>
        <w:t>an individual who holds a position of responsibility over that covered product, or who is employed by the covered operator in a role bearing on the outcome, the accounting, or a control required by this standard;</w:t>
      </w:r>
    </w:p>
    <w:p>
      <w:pPr>
        <w:ind w:left="864" w:hanging="432"/>
        <w:jc w:val="both"/>
      </w:pPr>
      <w:r>
        <w:rPr>
          <w:rFonts w:ascii="Times New Roman" w:hAnsi="Times New Roman"/>
          <w:b/>
          <w:sz w:val="22"/>
        </w:rPr>
        <w:t xml:space="preserve">(2)  </w:t>
      </w:r>
      <w:r>
        <w:rPr>
          <w:rFonts w:ascii="Times New Roman" w:hAnsi="Times New Roman"/>
          <w:sz w:val="22"/>
        </w:rPr>
        <w:t>an individual employed by the host location at which the covered device is placed, during a period in which that individual is on duty;</w:t>
      </w:r>
    </w:p>
    <w:p>
      <w:pPr>
        <w:ind w:left="864" w:hanging="432"/>
        <w:jc w:val="both"/>
      </w:pPr>
      <w:r>
        <w:rPr>
          <w:rFonts w:ascii="Times New Roman" w:hAnsi="Times New Roman"/>
          <w:b/>
          <w:sz w:val="22"/>
        </w:rPr>
        <w:t xml:space="preserve">(3)  </w:t>
      </w:r>
      <w:r>
        <w:rPr>
          <w:rFonts w:ascii="Times New Roman" w:hAnsi="Times New Roman"/>
          <w:sz w:val="22"/>
        </w:rPr>
        <w:t>an officer or director of the licensed organization for whose benefit the product is offered; and</w:t>
      </w:r>
    </w:p>
    <w:p>
      <w:pPr>
        <w:ind w:left="864" w:hanging="432"/>
        <w:jc w:val="both"/>
      </w:pPr>
      <w:r>
        <w:rPr>
          <w:rFonts w:ascii="Times New Roman" w:hAnsi="Times New Roman"/>
          <w:b/>
          <w:sz w:val="22"/>
        </w:rPr>
        <w:t xml:space="preserve">(4)  </w:t>
      </w:r>
      <w:r>
        <w:rPr>
          <w:rFonts w:ascii="Times New Roman" w:hAnsi="Times New Roman"/>
          <w:sz w:val="22"/>
        </w:rPr>
        <w:t>an individual who has access to information about the configuration of a covered device that is not disclosed to players and that bears on the value returned.</w:t>
      </w:r>
    </w:p>
    <w:p>
      <w:pPr>
        <w:ind w:left="432" w:hanging="432"/>
        <w:jc w:val="both"/>
      </w:pPr>
      <w:r>
        <w:rPr>
          <w:rFonts w:ascii="Times New Roman" w:hAnsi="Times New Roman"/>
          <w:b/>
          <w:sz w:val="22"/>
        </w:rPr>
        <w:t xml:space="preserve">(b)  </w:t>
      </w:r>
      <w:r>
        <w:rPr>
          <w:rFonts w:ascii="Times New Roman" w:hAnsi="Times New Roman"/>
          <w:sz w:val="22"/>
        </w:rPr>
        <w:t>A covered operator shall maintain a list of persons excluded under subsection (a) and shall enforce it by the means used to enforce § 301.</w:t>
      </w:r>
    </w:p>
    <w:p>
      <w:pPr>
        <w:ind w:left="432" w:hanging="432"/>
        <w:jc w:val="both"/>
      </w:pPr>
      <w:r>
        <w:rPr>
          <w:rFonts w:ascii="Times New Roman" w:hAnsi="Times New Roman"/>
          <w:b/>
          <w:sz w:val="22"/>
        </w:rPr>
        <w:t xml:space="preserve">(c)  </w:t>
      </w:r>
      <w:r>
        <w:rPr>
          <w:rFonts w:ascii="Times New Roman" w:hAnsi="Times New Roman"/>
          <w:sz w:val="22"/>
        </w:rPr>
        <w:t>A covered operator shall not permit a person to play a covered product using information about the state of a covered device that is not available to players generally, and shall record and report under § 603 each instance it detects.</w:t>
      </w:r>
    </w:p>
    <w:p>
      <w:pPr>
        <w:ind w:left="432" w:hanging="432"/>
        <w:jc w:val="both"/>
      </w:pPr>
      <w:r>
        <w:rPr>
          <w:rFonts w:ascii="Times New Roman" w:hAnsi="Times New Roman"/>
          <w:b/>
          <w:sz w:val="22"/>
        </w:rPr>
        <w:t xml:space="preserve">(d)  </w:t>
      </w:r>
      <w:r>
        <w:rPr>
          <w:rFonts w:ascii="Times New Roman" w:hAnsi="Times New Roman"/>
          <w:sz w:val="22"/>
        </w:rPr>
        <w:t>A covered operator shall not offer a covered product in which the value returned to a player, the difficulty of a skill element, or the availability of an award is varied by reference to the identity of the player, the player's prior play, or the player's demonstrated skill.</w:t>
      </w:r>
    </w:p>
    <w:p>
      <w:pPr>
        <w:spacing w:before="240"/>
        <w:pBdr>
          <w:top w:val="single" w:sz="4" w:space="6" w:color="8A8A8A"/>
        </w:pBdr>
      </w:pPr>
      <w:r>
        <w:rPr>
          <w:rFonts w:ascii="Times New Roman" w:hAnsi="Times New Roman"/>
          <w:i/>
          <w:color w:val="555555"/>
          <w:sz w:val="17"/>
        </w:rPr>
        <w:t>Basis: Ohio Rev. Code § 2915.01(UU)(2)(a); Ohio Admin. Code 3772-50-24 app. A; GLI-11 v3.0 § 4.20.6.</w:t>
      </w:r>
    </w:p>
    <w:p>
      <w:pPr>
        <w:pStyle w:val="Heading2"/>
      </w:pPr>
      <w:r>
        <w:rPr>
          <w:rFonts w:ascii="Times New Roman" w:hAnsi="Times New Roman"/>
          <w:b/>
          <w:color w:val="143C46"/>
          <w:sz w:val="23"/>
        </w:rPr>
        <w:t xml:space="preserve">§ 404.  </w:t>
      </w:r>
      <w:r>
        <w:rPr>
          <w:rFonts w:ascii="Times New Roman" w:hAnsi="Times New Roman"/>
          <w:b/>
          <w:color w:val="000000"/>
          <w:sz w:val="23"/>
        </w:rPr>
        <w:t>Cash handling, redemption, and security</w:t>
      </w:r>
    </w:p>
    <w:p>
      <w:pPr>
        <w:ind w:left="432" w:hanging="432"/>
        <w:jc w:val="both"/>
      </w:pPr>
      <w:r>
        <w:rPr>
          <w:rFonts w:ascii="Times New Roman" w:hAnsi="Times New Roman"/>
          <w:b/>
          <w:sz w:val="22"/>
        </w:rPr>
        <w:t xml:space="preserve">(a)  </w:t>
      </w:r>
      <w:r>
        <w:rPr>
          <w:rFonts w:ascii="Times New Roman" w:hAnsi="Times New Roman"/>
          <w:sz w:val="22"/>
        </w:rPr>
        <w:t>A covered device shall not dispense cash. An award shall be delivered by a ticket, voucher, or electronic record redeemable at a redemption terminal or a staffed station.</w:t>
      </w:r>
    </w:p>
    <w:p>
      <w:pPr>
        <w:ind w:left="432" w:hanging="432"/>
        <w:jc w:val="both"/>
      </w:pPr>
      <w:r>
        <w:rPr>
          <w:rFonts w:ascii="Times New Roman" w:hAnsi="Times New Roman"/>
          <w:b/>
          <w:sz w:val="22"/>
        </w:rPr>
        <w:t xml:space="preserve">(b)  </w:t>
      </w:r>
      <w:r>
        <w:rPr>
          <w:rFonts w:ascii="Times New Roman" w:hAnsi="Times New Roman"/>
          <w:sz w:val="22"/>
        </w:rPr>
        <w:t>A covered operator and a host location shall ensure that every payment of an award is made through a redemption terminal, a staffed cashier station, or a verified electronic transfer. An employee shall not make an unrecorded cash payment from a covered device or from a general register.</w:t>
      </w:r>
    </w:p>
    <w:p>
      <w:pPr>
        <w:ind w:left="432" w:hanging="432"/>
        <w:jc w:val="both"/>
      </w:pPr>
      <w:r>
        <w:rPr>
          <w:rFonts w:ascii="Times New Roman" w:hAnsi="Times New Roman"/>
          <w:b/>
          <w:sz w:val="22"/>
        </w:rPr>
        <w:t xml:space="preserve">(c)  </w:t>
      </w:r>
      <w:r>
        <w:rPr>
          <w:rFonts w:ascii="Times New Roman" w:hAnsi="Times New Roman"/>
          <w:sz w:val="22"/>
        </w:rPr>
        <w:t>A host location shall maintain a secure area for the handling of funds associated with covered devices, with controlled access, a means of raising an alarm accessible to employees, and continuous surveillance coverage.</w:t>
      </w:r>
    </w:p>
    <w:p>
      <w:pPr>
        <w:ind w:left="432" w:hanging="432"/>
        <w:jc w:val="both"/>
      </w:pPr>
      <w:r>
        <w:rPr>
          <w:rFonts w:ascii="Times New Roman" w:hAnsi="Times New Roman"/>
          <w:b/>
          <w:sz w:val="22"/>
        </w:rPr>
        <w:t xml:space="preserve">(d)  </w:t>
      </w:r>
      <w:r>
        <w:rPr>
          <w:rFonts w:ascii="Times New Roman" w:hAnsi="Times New Roman"/>
          <w:sz w:val="22"/>
        </w:rPr>
        <w:t>Cash held for the payment of awards shall be maintained on an imprest basis in an amount sufficient to meet anticipated awards, and funds in excess of that amount shall be transferred to secure storage.</w:t>
      </w:r>
    </w:p>
    <w:p>
      <w:pPr>
        <w:ind w:left="432" w:hanging="432"/>
        <w:jc w:val="both"/>
      </w:pPr>
      <w:r>
        <w:rPr>
          <w:rFonts w:ascii="Times New Roman" w:hAnsi="Times New Roman"/>
          <w:b/>
          <w:sz w:val="22"/>
        </w:rPr>
        <w:t xml:space="preserve">(e)  </w:t>
      </w:r>
      <w:r>
        <w:rPr>
          <w:rFonts w:ascii="Times New Roman" w:hAnsi="Times New Roman"/>
          <w:sz w:val="22"/>
        </w:rPr>
        <w:t>The counting of proceeds from covered devices shall be performed in a designated area not accessible to the public, by not fewer than two individuals, and shall produce a record signed by each of them.</w:t>
      </w:r>
    </w:p>
    <w:p>
      <w:pPr>
        <w:ind w:left="432" w:hanging="432"/>
        <w:jc w:val="both"/>
      </w:pPr>
      <w:r>
        <w:rPr>
          <w:rFonts w:ascii="Times New Roman" w:hAnsi="Times New Roman"/>
          <w:b/>
          <w:sz w:val="22"/>
        </w:rPr>
        <w:t xml:space="preserve">(f)  </w:t>
      </w:r>
      <w:r>
        <w:rPr>
          <w:rFonts w:ascii="Times New Roman" w:hAnsi="Times New Roman"/>
          <w:sz w:val="22"/>
        </w:rPr>
        <w:t>A covered operator shall collect proceeds from a covered device on a schedule stated in the written internal controls and not less often than monthly, and shall reconcile the amount collected against the monitoring system on the day of collection.</w:t>
      </w:r>
    </w:p>
    <w:p>
      <w:pPr>
        <w:spacing w:before="240"/>
        <w:pBdr>
          <w:top w:val="single" w:sz="4" w:space="6" w:color="8A8A8A"/>
        </w:pBdr>
      </w:pPr>
      <w:r>
        <w:rPr>
          <w:rFonts w:ascii="Times New Roman" w:hAnsi="Times New Roman"/>
          <w:i/>
          <w:color w:val="555555"/>
          <w:sz w:val="17"/>
        </w:rPr>
        <w:t>Basis: Pa. H.B. 2557, § 5309 (2026); 25 C.F.R. §§ 543.17, 543.18.</w:t>
      </w:r>
    </w:p>
    <w:p>
      <w:pPr>
        <w:pStyle w:val="Heading2"/>
      </w:pPr>
      <w:r>
        <w:rPr>
          <w:rFonts w:ascii="Times New Roman" w:hAnsi="Times New Roman"/>
          <w:b/>
          <w:color w:val="143C46"/>
          <w:sz w:val="23"/>
        </w:rPr>
        <w:t xml:space="preserve">§ 405.  </w:t>
      </w:r>
      <w:r>
        <w:rPr>
          <w:rFonts w:ascii="Times New Roman" w:hAnsi="Times New Roman"/>
          <w:b/>
          <w:color w:val="000000"/>
          <w:sz w:val="23"/>
        </w:rPr>
        <w:t>Anti-money laundering</w:t>
      </w:r>
    </w:p>
    <w:p>
      <w:pPr>
        <w:ind w:left="432" w:hanging="432"/>
        <w:jc w:val="both"/>
      </w:pPr>
      <w:r>
        <w:rPr>
          <w:rFonts w:ascii="Times New Roman" w:hAnsi="Times New Roman"/>
          <w:b/>
          <w:sz w:val="22"/>
        </w:rPr>
        <w:t xml:space="preserve">(a)  </w:t>
      </w:r>
      <w:r>
        <w:rPr>
          <w:rFonts w:ascii="Times New Roman" w:hAnsi="Times New Roman"/>
          <w:sz w:val="22"/>
        </w:rPr>
        <w:t>A covered operator shall maintain a written program reasonably designed to prevent the use of covered products to launder money or to evade a reporting requirement, proportionate to the volume and the cash intensity of its operations.</w:t>
      </w:r>
    </w:p>
    <w:p>
      <w:pPr>
        <w:ind w:left="432" w:hanging="432"/>
        <w:jc w:val="both"/>
      </w:pPr>
      <w:r>
        <w:rPr>
          <w:rFonts w:ascii="Times New Roman" w:hAnsi="Times New Roman"/>
          <w:b/>
          <w:sz w:val="22"/>
        </w:rPr>
        <w:t xml:space="preserve">(b)  </w:t>
      </w:r>
      <w:r>
        <w:rPr>
          <w:rFonts w:ascii="Times New Roman" w:hAnsi="Times New Roman"/>
          <w:sz w:val="22"/>
        </w:rPr>
        <w:t>The program shall provide for:</w:t>
      </w:r>
    </w:p>
    <w:p>
      <w:pPr>
        <w:ind w:left="864" w:hanging="432"/>
        <w:jc w:val="both"/>
      </w:pPr>
      <w:r>
        <w:rPr>
          <w:rFonts w:ascii="Times New Roman" w:hAnsi="Times New Roman"/>
          <w:b/>
          <w:sz w:val="22"/>
        </w:rPr>
        <w:t xml:space="preserve">(1)  </w:t>
      </w:r>
      <w:r>
        <w:rPr>
          <w:rFonts w:ascii="Times New Roman" w:hAnsi="Times New Roman"/>
          <w:sz w:val="22"/>
        </w:rPr>
        <w:t>identification of a player who commits or redeems an aggregate exceeding three thousand dollars in a gaming day at covered devices the operator offers;</w:t>
      </w:r>
    </w:p>
    <w:p>
      <w:pPr>
        <w:ind w:left="864" w:hanging="432"/>
        <w:jc w:val="both"/>
      </w:pPr>
      <w:r>
        <w:rPr>
          <w:rFonts w:ascii="Times New Roman" w:hAnsi="Times New Roman"/>
          <w:b/>
          <w:sz w:val="22"/>
        </w:rPr>
        <w:t xml:space="preserve">(2)  </w:t>
      </w:r>
      <w:r>
        <w:rPr>
          <w:rFonts w:ascii="Times New Roman" w:hAnsi="Times New Roman"/>
          <w:sz w:val="22"/>
        </w:rPr>
        <w:t>aggregation of transactions across covered devices and host locations under common operation, where the monitoring system permits it;</w:t>
      </w:r>
    </w:p>
    <w:p>
      <w:pPr>
        <w:ind w:left="864" w:hanging="432"/>
        <w:jc w:val="both"/>
      </w:pPr>
      <w:r>
        <w:rPr>
          <w:rFonts w:ascii="Times New Roman" w:hAnsi="Times New Roman"/>
          <w:b/>
          <w:sz w:val="22"/>
        </w:rPr>
        <w:t xml:space="preserve">(3)  </w:t>
      </w:r>
      <w:r>
        <w:rPr>
          <w:rFonts w:ascii="Times New Roman" w:hAnsi="Times New Roman"/>
          <w:sz w:val="22"/>
        </w:rPr>
        <w:t>detection and reporting of structuring, including redemption in amounts calculated to remain below a reporting threshold;</w:t>
      </w:r>
    </w:p>
    <w:p>
      <w:pPr>
        <w:ind w:left="864" w:hanging="432"/>
        <w:jc w:val="both"/>
      </w:pPr>
      <w:r>
        <w:rPr>
          <w:rFonts w:ascii="Times New Roman" w:hAnsi="Times New Roman"/>
          <w:b/>
          <w:sz w:val="22"/>
        </w:rPr>
        <w:t xml:space="preserve">(4)  </w:t>
      </w:r>
      <w:r>
        <w:rPr>
          <w:rFonts w:ascii="Times New Roman" w:hAnsi="Times New Roman"/>
          <w:sz w:val="22"/>
        </w:rPr>
        <w:t>reporting to the authority designated by applicable law; and</w:t>
      </w:r>
    </w:p>
    <w:p>
      <w:pPr>
        <w:ind w:left="864" w:hanging="432"/>
        <w:jc w:val="both"/>
      </w:pPr>
      <w:r>
        <w:rPr>
          <w:rFonts w:ascii="Times New Roman" w:hAnsi="Times New Roman"/>
          <w:b/>
          <w:sz w:val="22"/>
        </w:rPr>
        <w:t xml:space="preserve">(5)  </w:t>
      </w:r>
      <w:r>
        <w:rPr>
          <w:rFonts w:ascii="Times New Roman" w:hAnsi="Times New Roman"/>
          <w:sz w:val="22"/>
        </w:rPr>
        <w:t>retention of records for five years.</w:t>
      </w:r>
    </w:p>
    <w:p>
      <w:pPr>
        <w:ind w:left="432" w:hanging="432"/>
        <w:jc w:val="both"/>
      </w:pPr>
      <w:r>
        <w:rPr>
          <w:rFonts w:ascii="Times New Roman" w:hAnsi="Times New Roman"/>
          <w:b/>
          <w:sz w:val="22"/>
        </w:rPr>
        <w:t xml:space="preserve">(c)  </w:t>
      </w:r>
      <w:r>
        <w:rPr>
          <w:rFonts w:ascii="Times New Roman" w:hAnsi="Times New Roman"/>
          <w:sz w:val="22"/>
        </w:rPr>
        <w:t>A covered operator shall not permit a player to redeem a ticket or voucher issued by a covered device other than at a redemption point associated with the host location at which the device is placed, except through a process stated in the written internal controls that records the identity of the redeeming person.</w:t>
      </w:r>
    </w:p>
    <w:p>
      <w:pPr>
        <w:spacing w:before="240"/>
        <w:pBdr>
          <w:top w:val="single" w:sz="4" w:space="6" w:color="8A8A8A"/>
        </w:pBdr>
      </w:pPr>
      <w:r>
        <w:rPr>
          <w:rFonts w:ascii="Times New Roman" w:hAnsi="Times New Roman"/>
          <w:i/>
          <w:color w:val="555555"/>
          <w:sz w:val="17"/>
        </w:rPr>
        <w:t>Basis: 31 C.F.R. pt. 1021.</w:t>
      </w:r>
    </w:p>
    <w:p>
      <w:pPr>
        <w:pStyle w:val="Heading2"/>
      </w:pPr>
      <w:r>
        <w:rPr>
          <w:rFonts w:ascii="Times New Roman" w:hAnsi="Times New Roman"/>
          <w:b/>
          <w:color w:val="143C46"/>
          <w:sz w:val="23"/>
        </w:rPr>
        <w:t xml:space="preserve">§ 406.  </w:t>
      </w:r>
      <w:r>
        <w:rPr>
          <w:rFonts w:ascii="Times New Roman" w:hAnsi="Times New Roman"/>
          <w:b/>
          <w:color w:val="000000"/>
          <w:sz w:val="23"/>
        </w:rPr>
        <w:t>Surveillance and incident response</w:t>
      </w:r>
    </w:p>
    <w:p>
      <w:pPr>
        <w:ind w:left="432" w:hanging="432"/>
        <w:jc w:val="both"/>
      </w:pPr>
      <w:r>
        <w:rPr>
          <w:rFonts w:ascii="Times New Roman" w:hAnsi="Times New Roman"/>
          <w:b/>
          <w:sz w:val="22"/>
        </w:rPr>
        <w:t xml:space="preserve">(a)  </w:t>
      </w:r>
      <w:r>
        <w:rPr>
          <w:rFonts w:ascii="Times New Roman" w:hAnsi="Times New Roman"/>
          <w:sz w:val="22"/>
        </w:rPr>
        <w:t>A host location shall maintain surveillance coverage of the area in which covered devices are placed, of the redemption point, and of the area in which proceeds are counted, and shall retain recordings for not less than thirty days.</w:t>
      </w:r>
    </w:p>
    <w:p>
      <w:pPr>
        <w:ind w:left="432" w:hanging="432"/>
        <w:jc w:val="both"/>
      </w:pPr>
      <w:r>
        <w:rPr>
          <w:rFonts w:ascii="Times New Roman" w:hAnsi="Times New Roman"/>
          <w:b/>
          <w:sz w:val="22"/>
        </w:rPr>
        <w:t xml:space="preserve">(b)  </w:t>
      </w:r>
      <w:r>
        <w:rPr>
          <w:rFonts w:ascii="Times New Roman" w:hAnsi="Times New Roman"/>
          <w:sz w:val="22"/>
        </w:rPr>
        <w:t>A covered operator shall maintain the ability to disable a covered device remotely and shall disable a device upon becoming aware of:</w:t>
      </w:r>
    </w:p>
    <w:p>
      <w:pPr>
        <w:ind w:left="864" w:hanging="432"/>
        <w:jc w:val="both"/>
      </w:pPr>
      <w:r>
        <w:rPr>
          <w:rFonts w:ascii="Times New Roman" w:hAnsi="Times New Roman"/>
          <w:b/>
          <w:sz w:val="22"/>
        </w:rPr>
        <w:t xml:space="preserve">(1)  </w:t>
      </w:r>
      <w:r>
        <w:rPr>
          <w:rFonts w:ascii="Times New Roman" w:hAnsi="Times New Roman"/>
          <w:sz w:val="22"/>
        </w:rPr>
        <w:t>a failure of a control required by this standard or by SBCGS-T;</w:t>
      </w:r>
    </w:p>
    <w:p>
      <w:pPr>
        <w:ind w:left="864" w:hanging="432"/>
        <w:jc w:val="both"/>
      </w:pPr>
      <w:r>
        <w:rPr>
          <w:rFonts w:ascii="Times New Roman" w:hAnsi="Times New Roman"/>
          <w:b/>
          <w:sz w:val="22"/>
        </w:rPr>
        <w:t xml:space="preserve">(2)  </w:t>
      </w:r>
      <w:r>
        <w:rPr>
          <w:rFonts w:ascii="Times New Roman" w:hAnsi="Times New Roman"/>
          <w:sz w:val="22"/>
        </w:rPr>
        <w:t>a variance under § 207(e) that is not resolved within two business days;</w:t>
      </w:r>
    </w:p>
    <w:p>
      <w:pPr>
        <w:ind w:left="864" w:hanging="432"/>
        <w:jc w:val="both"/>
      </w:pPr>
      <w:r>
        <w:rPr>
          <w:rFonts w:ascii="Times New Roman" w:hAnsi="Times New Roman"/>
          <w:b/>
          <w:sz w:val="22"/>
        </w:rPr>
        <w:t xml:space="preserve">(3)  </w:t>
      </w:r>
      <w:r>
        <w:rPr>
          <w:rFonts w:ascii="Times New Roman" w:hAnsi="Times New Roman"/>
          <w:sz w:val="22"/>
        </w:rPr>
        <w:t>evidence of tampering; or</w:t>
      </w:r>
    </w:p>
    <w:p>
      <w:pPr>
        <w:ind w:left="864" w:hanging="432"/>
        <w:jc w:val="both"/>
      </w:pPr>
      <w:r>
        <w:rPr>
          <w:rFonts w:ascii="Times New Roman" w:hAnsi="Times New Roman"/>
          <w:b/>
          <w:sz w:val="22"/>
        </w:rPr>
        <w:t xml:space="preserve">(4)  </w:t>
      </w:r>
      <w:r>
        <w:rPr>
          <w:rFonts w:ascii="Times New Roman" w:hAnsi="Times New Roman"/>
          <w:sz w:val="22"/>
        </w:rPr>
        <w:t>a direction from a regulatory authority.</w:t>
      </w:r>
    </w:p>
    <w:p>
      <w:pPr>
        <w:ind w:left="432" w:hanging="432"/>
        <w:jc w:val="both"/>
      </w:pPr>
      <w:r>
        <w:rPr>
          <w:rFonts w:ascii="Times New Roman" w:hAnsi="Times New Roman"/>
          <w:b/>
          <w:sz w:val="22"/>
        </w:rPr>
        <w:t xml:space="preserve">(c)  </w:t>
      </w:r>
      <w:r>
        <w:rPr>
          <w:rFonts w:ascii="Times New Roman" w:hAnsi="Times New Roman"/>
          <w:sz w:val="22"/>
        </w:rPr>
        <w:t>A covered operator shall investigate each incident described in subsection (b), shall document the investigation, and shall report under § 603.</w:t>
      </w:r>
    </w:p>
    <w:p>
      <w:r>
        <w:br w:type="page"/>
      </w:r>
    </w:p>
    <w:p>
      <w:pPr>
        <w:spacing w:after="40"/>
      </w:pPr>
      <w:r>
        <w:rPr>
          <w:rFonts w:ascii="Calibri" w:hAnsi="Calibri"/>
          <w:b/>
          <w:color w:val="143C46"/>
          <w:sz w:val="18"/>
        </w:rPr>
        <w:t>PART 500</w:t>
      </w:r>
    </w:p>
    <w:p>
      <w:pPr>
        <w:pStyle w:val="Heading1"/>
        <w:spacing w:before="0"/>
        <w:pBdr>
          <w:bottom w:val="single" w:sz="8" w:space="6" w:color="143C46"/>
        </w:pBdr>
      </w:pPr>
      <w:r>
        <w:rPr>
          <w:rFonts w:ascii="Times New Roman" w:hAnsi="Times New Roman"/>
          <w:b/>
          <w:color w:val="000000"/>
          <w:sz w:val="30"/>
        </w:rPr>
        <w:t>Charitable Proceeds Integrity</w:t>
      </w:r>
    </w:p>
    <w:p>
      <w:pPr>
        <w:pStyle w:val="Heading2"/>
      </w:pPr>
      <w:r>
        <w:rPr>
          <w:rFonts w:ascii="Times New Roman" w:hAnsi="Times New Roman"/>
          <w:b/>
          <w:color w:val="143C46"/>
          <w:sz w:val="23"/>
        </w:rPr>
        <w:t xml:space="preserve">§ 501.  </w:t>
      </w:r>
      <w:r>
        <w:rPr>
          <w:rFonts w:ascii="Times New Roman" w:hAnsi="Times New Roman"/>
          <w:b/>
          <w:color w:val="000000"/>
          <w:sz w:val="23"/>
        </w:rPr>
        <w:t>Application</w:t>
      </w:r>
    </w:p>
    <w:p>
      <w:pPr>
        <w:ind w:left="432" w:hanging="432"/>
        <w:jc w:val="both"/>
      </w:pPr>
      <w:r>
        <w:rPr>
          <w:rFonts w:ascii="Times New Roman" w:hAnsi="Times New Roman"/>
          <w:b/>
          <w:sz w:val="22"/>
        </w:rPr>
        <w:t xml:space="preserve">(a)  </w:t>
      </w:r>
      <w:r>
        <w:rPr>
          <w:rFonts w:ascii="Times New Roman" w:hAnsi="Times New Roman"/>
          <w:sz w:val="22"/>
        </w:rPr>
        <w:t>This Part applies where a charitable representation is made as to a covered product, as determined under SBCGS-C § 107(b).</w:t>
      </w:r>
    </w:p>
    <w:p>
      <w:pPr>
        <w:ind w:left="432" w:hanging="432"/>
        <w:jc w:val="both"/>
      </w:pPr>
      <w:r>
        <w:rPr>
          <w:rFonts w:ascii="Times New Roman" w:hAnsi="Times New Roman"/>
          <w:b/>
          <w:sz w:val="22"/>
        </w:rPr>
        <w:t xml:space="preserve">(b)  </w:t>
      </w:r>
      <w:r>
        <w:rPr>
          <w:rFonts w:ascii="Times New Roman" w:hAnsi="Times New Roman"/>
          <w:sz w:val="22"/>
        </w:rPr>
        <w:t>Where no charitable representation is made, this Part does not apply, and § 304(f)(4) prohibits the representation.</w:t>
      </w:r>
    </w:p>
    <w:p>
      <w:pPr>
        <w:ind w:left="432" w:hanging="432"/>
        <w:jc w:val="both"/>
      </w:pPr>
      <w:r>
        <w:rPr>
          <w:rFonts w:ascii="Times New Roman" w:hAnsi="Times New Roman"/>
          <w:b/>
          <w:sz w:val="22"/>
        </w:rPr>
        <w:t xml:space="preserve">(c)  </w:t>
      </w:r>
      <w:r>
        <w:rPr>
          <w:rFonts w:ascii="Times New Roman" w:hAnsi="Times New Roman"/>
          <w:sz w:val="22"/>
        </w:rPr>
        <w:t>A covered operator, a licensed organization, and a host location are each responsible for the requirements of this Part allocated to it by § 202(d), and the licensed organization is responsible for each requirement in this Part in full.</w:t>
      </w:r>
    </w:p>
    <w:p>
      <w:pPr>
        <w:pStyle w:val="Heading2"/>
      </w:pPr>
      <w:r>
        <w:rPr>
          <w:rFonts w:ascii="Times New Roman" w:hAnsi="Times New Roman"/>
          <w:b/>
          <w:color w:val="143C46"/>
          <w:sz w:val="23"/>
        </w:rPr>
        <w:t xml:space="preserve">§ 502.  </w:t>
      </w:r>
      <w:r>
        <w:rPr>
          <w:rFonts w:ascii="Times New Roman" w:hAnsi="Times New Roman"/>
          <w:b/>
          <w:color w:val="000000"/>
          <w:sz w:val="23"/>
        </w:rPr>
        <w:t>Charitable yield</w:t>
      </w:r>
    </w:p>
    <w:p>
      <w:pPr>
        <w:ind w:left="432" w:hanging="432"/>
        <w:jc w:val="both"/>
      </w:pPr>
      <w:r>
        <w:rPr>
          <w:rFonts w:ascii="Times New Roman" w:hAnsi="Times New Roman"/>
          <w:b/>
          <w:sz w:val="22"/>
        </w:rPr>
        <w:t xml:space="preserve">(a)  </w:t>
      </w:r>
      <w:r>
        <w:rPr>
          <w:rFonts w:ascii="Times New Roman" w:hAnsi="Times New Roman"/>
          <w:sz w:val="22"/>
        </w:rPr>
        <w:t>A licensed organization shall compute charitable yield in accordance with SBCGS-C § 107(d) for each calendar quarter, for the covered products offered under its authority or in its name.</w:t>
      </w:r>
    </w:p>
    <w:p>
      <w:pPr>
        <w:ind w:left="432" w:hanging="432"/>
        <w:jc w:val="both"/>
      </w:pPr>
      <w:r>
        <w:rPr>
          <w:rFonts w:ascii="Times New Roman" w:hAnsi="Times New Roman"/>
          <w:b/>
          <w:sz w:val="22"/>
        </w:rPr>
        <w:t xml:space="preserve">(b)  </w:t>
      </w:r>
      <w:r>
        <w:rPr>
          <w:rFonts w:ascii="Times New Roman" w:hAnsi="Times New Roman"/>
          <w:sz w:val="22"/>
        </w:rPr>
        <w:t>The computation shall state, for the quarter:</w:t>
      </w:r>
    </w:p>
    <w:p>
      <w:pPr>
        <w:ind w:left="864" w:hanging="432"/>
        <w:jc w:val="both"/>
      </w:pPr>
      <w:r>
        <w:rPr>
          <w:rFonts w:ascii="Times New Roman" w:hAnsi="Times New Roman"/>
          <w:b/>
          <w:sz w:val="22"/>
        </w:rPr>
        <w:t xml:space="preserve">(1)  </w:t>
      </w:r>
      <w:r>
        <w:rPr>
          <w:rFonts w:ascii="Times New Roman" w:hAnsi="Times New Roman"/>
          <w:sz w:val="22"/>
        </w:rPr>
        <w:t>the amount committed;</w:t>
      </w:r>
    </w:p>
    <w:p>
      <w:pPr>
        <w:ind w:left="864" w:hanging="432"/>
        <w:jc w:val="both"/>
      </w:pPr>
      <w:r>
        <w:rPr>
          <w:rFonts w:ascii="Times New Roman" w:hAnsi="Times New Roman"/>
          <w:b/>
          <w:sz w:val="22"/>
        </w:rPr>
        <w:t xml:space="preserve">(2)  </w:t>
      </w:r>
      <w:r>
        <w:rPr>
          <w:rFonts w:ascii="Times New Roman" w:hAnsi="Times New Roman"/>
          <w:sz w:val="22"/>
        </w:rPr>
        <w:t>the value of awards to players;</w:t>
      </w:r>
    </w:p>
    <w:p>
      <w:pPr>
        <w:ind w:left="864" w:hanging="432"/>
        <w:jc w:val="both"/>
      </w:pPr>
      <w:r>
        <w:rPr>
          <w:rFonts w:ascii="Times New Roman" w:hAnsi="Times New Roman"/>
          <w:b/>
          <w:sz w:val="22"/>
        </w:rPr>
        <w:t xml:space="preserve">(3)  </w:t>
      </w:r>
      <w:r>
        <w:rPr>
          <w:rFonts w:ascii="Times New Roman" w:hAnsi="Times New Roman"/>
          <w:sz w:val="22"/>
        </w:rPr>
        <w:t>gross gaming revenue;</w:t>
      </w:r>
    </w:p>
    <w:p>
      <w:pPr>
        <w:ind w:left="864" w:hanging="432"/>
        <w:jc w:val="both"/>
      </w:pPr>
      <w:r>
        <w:rPr>
          <w:rFonts w:ascii="Times New Roman" w:hAnsi="Times New Roman"/>
          <w:b/>
          <w:sz w:val="22"/>
        </w:rPr>
        <w:t xml:space="preserve">(4)  </w:t>
      </w:r>
      <w:r>
        <w:rPr>
          <w:rFonts w:ascii="Times New Roman" w:hAnsi="Times New Roman"/>
          <w:sz w:val="22"/>
        </w:rPr>
        <w:t>each amount deducted from gross gaming revenue, identified by recipient and by category, including amounts to the covered operator, the distributor, the manufacturer, the host location, and each affiliate of any of them, amounts applied to devices and to communications and monitoring, taxes and fees, and the general operating costs of the organization;</w:t>
      </w:r>
    </w:p>
    <w:p>
      <w:pPr>
        <w:ind w:left="864" w:hanging="432"/>
        <w:jc w:val="both"/>
      </w:pPr>
      <w:r>
        <w:rPr>
          <w:rFonts w:ascii="Times New Roman" w:hAnsi="Times New Roman"/>
          <w:b/>
          <w:sz w:val="22"/>
        </w:rPr>
        <w:t xml:space="preserve">(5)  </w:t>
      </w:r>
      <w:r>
        <w:rPr>
          <w:rFonts w:ascii="Times New Roman" w:hAnsi="Times New Roman"/>
          <w:sz w:val="22"/>
        </w:rPr>
        <w:t>the amount applied to a charitable purpose, identified by beneficiary; and</w:t>
      </w:r>
    </w:p>
    <w:p>
      <w:pPr>
        <w:ind w:left="864" w:hanging="432"/>
        <w:jc w:val="both"/>
      </w:pPr>
      <w:r>
        <w:rPr>
          <w:rFonts w:ascii="Times New Roman" w:hAnsi="Times New Roman"/>
          <w:b/>
          <w:sz w:val="22"/>
        </w:rPr>
        <w:t xml:space="preserve">(6)  </w:t>
      </w:r>
      <w:r>
        <w:rPr>
          <w:rFonts w:ascii="Times New Roman" w:hAnsi="Times New Roman"/>
          <w:sz w:val="22"/>
        </w:rPr>
        <w:t>charitable yield expressed as a percentage of gross gaming revenue.</w:t>
      </w:r>
    </w:p>
    <w:p>
      <w:pPr>
        <w:ind w:left="432" w:hanging="432"/>
        <w:jc w:val="both"/>
      </w:pPr>
      <w:r>
        <w:rPr>
          <w:rFonts w:ascii="Times New Roman" w:hAnsi="Times New Roman"/>
          <w:b/>
          <w:sz w:val="22"/>
        </w:rPr>
        <w:t xml:space="preserve">(c)  </w:t>
      </w:r>
      <w:r>
        <w:rPr>
          <w:rFonts w:ascii="Times New Roman" w:hAnsi="Times New Roman"/>
          <w:sz w:val="22"/>
        </w:rPr>
        <w:t>The computation shall additionally state any measure of charitable share that applicable law requires, computed as that law requires, presented alongside charitable yield and separately labelled.</w:t>
      </w:r>
    </w:p>
    <w:p>
      <w:pPr>
        <w:ind w:left="432" w:hanging="432"/>
        <w:jc w:val="both"/>
      </w:pPr>
      <w:r>
        <w:rPr>
          <w:rFonts w:ascii="Times New Roman" w:hAnsi="Times New Roman"/>
          <w:b/>
          <w:sz w:val="22"/>
        </w:rPr>
        <w:t xml:space="preserve">(d)  </w:t>
      </w:r>
      <w:r>
        <w:rPr>
          <w:rFonts w:ascii="Times New Roman" w:hAnsi="Times New Roman"/>
          <w:b/>
          <w:sz w:val="22"/>
        </w:rPr>
        <w:t>Floor.</w:t>
      </w:r>
      <w:r>
        <w:rPr>
          <w:rFonts w:ascii="Times New Roman" w:hAnsi="Times New Roman"/>
          <w:sz w:val="22"/>
        </w:rPr>
        <w:t xml:space="preserve"> Where a charitable representation is made, charitable yield shall be not less than twenty five percent for the four most recent completed quarters taken together.</w:t>
      </w:r>
    </w:p>
    <w:p>
      <w:pPr>
        <w:ind w:left="432" w:hanging="432"/>
        <w:jc w:val="both"/>
      </w:pPr>
      <w:r>
        <w:rPr>
          <w:rFonts w:ascii="Times New Roman" w:hAnsi="Times New Roman"/>
          <w:b/>
          <w:sz w:val="22"/>
        </w:rPr>
        <w:t xml:space="preserve">(e)  </w:t>
      </w:r>
      <w:r>
        <w:rPr>
          <w:rFonts w:ascii="Times New Roman" w:hAnsi="Times New Roman"/>
          <w:sz w:val="22"/>
        </w:rPr>
        <w:t>Where charitable yield falls below the floor in subsection (d), the licensed organization shall, within sixty days, either bring yield above the floor or withdraw every charitable representation as to the covered product and notify the covered operator and the host location to do the same.</w:t>
      </w:r>
    </w:p>
    <w:p>
      <w:pPr>
        <w:ind w:left="432" w:hanging="432"/>
        <w:jc w:val="both"/>
      </w:pPr>
      <w:r>
        <w:rPr>
          <w:rFonts w:ascii="Times New Roman" w:hAnsi="Times New Roman"/>
          <w:b/>
          <w:sz w:val="22"/>
        </w:rPr>
        <w:t xml:space="preserve">(f)  </w:t>
      </w:r>
      <w:r>
        <w:rPr>
          <w:rFonts w:ascii="Times New Roman" w:hAnsi="Times New Roman"/>
          <w:sz w:val="22"/>
        </w:rPr>
        <w:t>A covered operator shall provide to the licensed organization, within twenty days after the end of each quarter, every figure within subsection (b) that lies within the operator's records, in a form permitting the organization to perform the computation.</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The floor in subsection (d) is stated at twenty five percent of gross gaming revenue. The Institute has found no jurisdiction that states a floor on this basis, and several that state one on a basis that has already deducted expense. Publicly reported splits in this category, under which the host and the route operator each take about forty percent of profit, would not meet it. That is the point of stating it. Comment is invited on the level, and Appendix A sets out what the Institute would need in order to move it.</w:t>
      </w:r>
    </w:p>
    <w:p>
      <w:pPr>
        <w:pStyle w:val="Heading2"/>
      </w:pPr>
      <w:r>
        <w:rPr>
          <w:rFonts w:ascii="Times New Roman" w:hAnsi="Times New Roman"/>
          <w:b/>
          <w:color w:val="143C46"/>
          <w:sz w:val="23"/>
        </w:rPr>
        <w:t xml:space="preserve">§ 503.  </w:t>
      </w:r>
      <w:r>
        <w:rPr>
          <w:rFonts w:ascii="Times New Roman" w:hAnsi="Times New Roman"/>
          <w:b/>
          <w:color w:val="000000"/>
          <w:sz w:val="23"/>
        </w:rPr>
        <w:t>Disclosure of charitable yield</w:t>
      </w:r>
    </w:p>
    <w:p>
      <w:pPr>
        <w:ind w:left="432" w:hanging="432"/>
        <w:jc w:val="both"/>
      </w:pPr>
      <w:r>
        <w:rPr>
          <w:rFonts w:ascii="Times New Roman" w:hAnsi="Times New Roman"/>
          <w:b/>
          <w:sz w:val="22"/>
        </w:rPr>
        <w:t xml:space="preserve">(a)  </w:t>
      </w:r>
      <w:r>
        <w:rPr>
          <w:rFonts w:ascii="Times New Roman" w:hAnsi="Times New Roman"/>
          <w:sz w:val="22"/>
        </w:rPr>
        <w:t>A covered operator shall display on the covered device, in the manner required by § 304(a):</w:t>
      </w:r>
    </w:p>
    <w:p>
      <w:pPr>
        <w:ind w:left="864" w:hanging="432"/>
        <w:jc w:val="both"/>
      </w:pPr>
      <w:r>
        <w:rPr>
          <w:rFonts w:ascii="Times New Roman" w:hAnsi="Times New Roman"/>
          <w:b/>
          <w:sz w:val="22"/>
        </w:rPr>
        <w:t xml:space="preserve">(1)  </w:t>
      </w:r>
      <w:r>
        <w:rPr>
          <w:rFonts w:ascii="Times New Roman" w:hAnsi="Times New Roman"/>
          <w:sz w:val="22"/>
        </w:rPr>
        <w:t>the name of the licensed organization and of each beneficiary;</w:t>
      </w:r>
    </w:p>
    <w:p>
      <w:pPr>
        <w:ind w:left="864" w:hanging="432"/>
        <w:jc w:val="both"/>
      </w:pPr>
      <w:r>
        <w:rPr>
          <w:rFonts w:ascii="Times New Roman" w:hAnsi="Times New Roman"/>
          <w:b/>
          <w:sz w:val="22"/>
        </w:rPr>
        <w:t xml:space="preserve">(2)  </w:t>
      </w:r>
      <w:r>
        <w:rPr>
          <w:rFonts w:ascii="Times New Roman" w:hAnsi="Times New Roman"/>
          <w:sz w:val="22"/>
        </w:rPr>
        <w:t>the charitable yield for the four most recent completed quarters, expressed as a percentage and stated to one decimal place; and</w:t>
      </w:r>
    </w:p>
    <w:p>
      <w:pPr>
        <w:ind w:left="864" w:hanging="432"/>
        <w:jc w:val="both"/>
      </w:pPr>
      <w:r>
        <w:rPr>
          <w:rFonts w:ascii="Times New Roman" w:hAnsi="Times New Roman"/>
          <w:b/>
          <w:sz w:val="22"/>
        </w:rPr>
        <w:t xml:space="preserve">(3)  </w:t>
      </w:r>
      <w:r>
        <w:rPr>
          <w:rFonts w:ascii="Times New Roman" w:hAnsi="Times New Roman"/>
          <w:sz w:val="22"/>
        </w:rPr>
        <w:t>the statement that of each dollar committed by players, a stated amount was applied to a charitable purpose, computed from charitable yield and gross gaming revenue for the same period and stated in cents.</w:t>
      </w:r>
    </w:p>
    <w:p>
      <w:pPr>
        <w:ind w:left="432" w:hanging="432"/>
        <w:jc w:val="both"/>
      </w:pPr>
      <w:r>
        <w:rPr>
          <w:rFonts w:ascii="Times New Roman" w:hAnsi="Times New Roman"/>
          <w:b/>
          <w:sz w:val="22"/>
        </w:rPr>
        <w:t xml:space="preserve">(b)  </w:t>
      </w:r>
      <w:r>
        <w:rPr>
          <w:rFonts w:ascii="Times New Roman" w:hAnsi="Times New Roman"/>
          <w:sz w:val="22"/>
        </w:rPr>
        <w:t>The disclosure shall be updated within thirty days after the computation under § 502 is completed for a quarter.</w:t>
      </w:r>
    </w:p>
    <w:p>
      <w:pPr>
        <w:ind w:left="432" w:hanging="432"/>
        <w:jc w:val="both"/>
      </w:pPr>
      <w:r>
        <w:rPr>
          <w:rFonts w:ascii="Times New Roman" w:hAnsi="Times New Roman"/>
          <w:b/>
          <w:sz w:val="22"/>
        </w:rPr>
        <w:t xml:space="preserve">(c)  </w:t>
      </w:r>
      <w:r>
        <w:rPr>
          <w:rFonts w:ascii="Times New Roman" w:hAnsi="Times New Roman"/>
          <w:sz w:val="22"/>
        </w:rPr>
        <w:t>Where charitable yield has not yet been computed for four completed quarters, the disclosure shall state the period for which it has been computed, and shall state that a full period is not yet available.</w:t>
      </w:r>
    </w:p>
    <w:p>
      <w:pPr>
        <w:ind w:left="432" w:hanging="432"/>
        <w:jc w:val="both"/>
      </w:pPr>
      <w:r>
        <w:rPr>
          <w:rFonts w:ascii="Times New Roman" w:hAnsi="Times New Roman"/>
          <w:b/>
          <w:sz w:val="22"/>
        </w:rPr>
        <w:t xml:space="preserve">(d)  </w:t>
      </w:r>
      <w:r>
        <w:rPr>
          <w:rFonts w:ascii="Times New Roman" w:hAnsi="Times New Roman"/>
          <w:sz w:val="22"/>
        </w:rPr>
        <w:t>A licensed organization shall make available, on request and at no charge, the computation under § 502(b) for each of the eight most recent completed quarters.</w:t>
      </w:r>
    </w:p>
    <w:p>
      <w:pPr>
        <w:pStyle w:val="Heading2"/>
      </w:pPr>
      <w:r>
        <w:rPr>
          <w:rFonts w:ascii="Times New Roman" w:hAnsi="Times New Roman"/>
          <w:b/>
          <w:color w:val="143C46"/>
          <w:sz w:val="23"/>
        </w:rPr>
        <w:t xml:space="preserve">§ 504.  </w:t>
      </w:r>
      <w:r>
        <w:rPr>
          <w:rFonts w:ascii="Times New Roman" w:hAnsi="Times New Roman"/>
          <w:b/>
          <w:color w:val="000000"/>
          <w:sz w:val="23"/>
        </w:rPr>
        <w:t>Allocation agreements</w:t>
      </w:r>
    </w:p>
    <w:p>
      <w:pPr>
        <w:ind w:left="432" w:hanging="432"/>
        <w:jc w:val="both"/>
      </w:pPr>
      <w:r>
        <w:rPr>
          <w:rFonts w:ascii="Times New Roman" w:hAnsi="Times New Roman"/>
          <w:b/>
          <w:sz w:val="22"/>
        </w:rPr>
        <w:t xml:space="preserve">(a)  </w:t>
      </w:r>
      <w:r>
        <w:rPr>
          <w:rFonts w:ascii="Times New Roman" w:hAnsi="Times New Roman"/>
          <w:sz w:val="22"/>
        </w:rPr>
        <w:t>The allocation of proceeds from a covered product among a covered operator, a distributor, a host location, and a licensed organization shall be stated in a written agreement executed before the first covered device is placed.</w:t>
      </w:r>
    </w:p>
    <w:p>
      <w:pPr>
        <w:ind w:left="432" w:hanging="432"/>
        <w:jc w:val="both"/>
      </w:pPr>
      <w:r>
        <w:rPr>
          <w:rFonts w:ascii="Times New Roman" w:hAnsi="Times New Roman"/>
          <w:b/>
          <w:sz w:val="22"/>
        </w:rPr>
        <w:t xml:space="preserve">(b)  </w:t>
      </w:r>
      <w:r>
        <w:rPr>
          <w:rFonts w:ascii="Times New Roman" w:hAnsi="Times New Roman"/>
          <w:sz w:val="22"/>
        </w:rPr>
        <w:t>The agreement shall state:</w:t>
      </w:r>
    </w:p>
    <w:p>
      <w:pPr>
        <w:ind w:left="864" w:hanging="432"/>
        <w:jc w:val="both"/>
      </w:pPr>
      <w:r>
        <w:rPr>
          <w:rFonts w:ascii="Times New Roman" w:hAnsi="Times New Roman"/>
          <w:b/>
          <w:sz w:val="22"/>
        </w:rPr>
        <w:t xml:space="preserve">(1)  </w:t>
      </w:r>
      <w:r>
        <w:rPr>
          <w:rFonts w:ascii="Times New Roman" w:hAnsi="Times New Roman"/>
          <w:sz w:val="22"/>
        </w:rPr>
        <w:t>each party and each affiliate of a party that receives value under it;</w:t>
      </w:r>
    </w:p>
    <w:p>
      <w:pPr>
        <w:ind w:left="864" w:hanging="432"/>
        <w:jc w:val="both"/>
      </w:pPr>
      <w:r>
        <w:rPr>
          <w:rFonts w:ascii="Times New Roman" w:hAnsi="Times New Roman"/>
          <w:b/>
          <w:sz w:val="22"/>
        </w:rPr>
        <w:t xml:space="preserve">(2)  </w:t>
      </w:r>
      <w:r>
        <w:rPr>
          <w:rFonts w:ascii="Times New Roman" w:hAnsi="Times New Roman"/>
          <w:sz w:val="22"/>
        </w:rPr>
        <w:t>the basis on which each amount is computed, expressed as a percentage of gross gaming revenue or as a stated sum, and not by reference to a measure computed after undisclosed deductions;</w:t>
      </w:r>
    </w:p>
    <w:p>
      <w:pPr>
        <w:ind w:left="864" w:hanging="432"/>
        <w:jc w:val="both"/>
      </w:pPr>
      <w:r>
        <w:rPr>
          <w:rFonts w:ascii="Times New Roman" w:hAnsi="Times New Roman"/>
          <w:b/>
          <w:sz w:val="22"/>
        </w:rPr>
        <w:t xml:space="preserve">(3)  </w:t>
      </w:r>
      <w:r>
        <w:rPr>
          <w:rFonts w:ascii="Times New Roman" w:hAnsi="Times New Roman"/>
          <w:sz w:val="22"/>
        </w:rPr>
        <w:t>every charge to be borne by the licensed organization, including device lease, service, communications, monitoring, and financing;</w:t>
      </w:r>
    </w:p>
    <w:p>
      <w:pPr>
        <w:ind w:left="864" w:hanging="432"/>
        <w:jc w:val="both"/>
      </w:pPr>
      <w:r>
        <w:rPr>
          <w:rFonts w:ascii="Times New Roman" w:hAnsi="Times New Roman"/>
          <w:b/>
          <w:sz w:val="22"/>
        </w:rPr>
        <w:t xml:space="preserve">(4)  </w:t>
      </w:r>
      <w:r>
        <w:rPr>
          <w:rFonts w:ascii="Times New Roman" w:hAnsi="Times New Roman"/>
          <w:sz w:val="22"/>
        </w:rPr>
        <w:t>the term, and the right of the licensed organization to terminate on notice of not more than ninety days where charitable yield falls below the floor in § 502(d); and</w:t>
      </w:r>
    </w:p>
    <w:p>
      <w:pPr>
        <w:ind w:left="864" w:hanging="432"/>
        <w:jc w:val="both"/>
      </w:pPr>
      <w:r>
        <w:rPr>
          <w:rFonts w:ascii="Times New Roman" w:hAnsi="Times New Roman"/>
          <w:b/>
          <w:sz w:val="22"/>
        </w:rPr>
        <w:t xml:space="preserve">(5)  </w:t>
      </w:r>
      <w:r>
        <w:rPr>
          <w:rFonts w:ascii="Times New Roman" w:hAnsi="Times New Roman"/>
          <w:sz w:val="22"/>
        </w:rPr>
        <w:t>the obligation of the covered operator under § 502(f).</w:t>
      </w:r>
    </w:p>
    <w:p>
      <w:pPr>
        <w:ind w:left="432" w:hanging="432"/>
        <w:jc w:val="both"/>
      </w:pPr>
      <w:r>
        <w:rPr>
          <w:rFonts w:ascii="Times New Roman" w:hAnsi="Times New Roman"/>
          <w:b/>
          <w:sz w:val="22"/>
        </w:rPr>
        <w:t xml:space="preserve">(c)  </w:t>
      </w:r>
      <w:r>
        <w:rPr>
          <w:rFonts w:ascii="Times New Roman" w:hAnsi="Times New Roman"/>
          <w:sz w:val="22"/>
        </w:rPr>
        <w:t>A licensed organization shall not enter an agreement under which the amount it receives is determined by a party's discretion, or is stated only after deductions that the agreement does not enumerate.</w:t>
      </w:r>
    </w:p>
    <w:p>
      <w:pPr>
        <w:ind w:left="432" w:hanging="432"/>
        <w:jc w:val="both"/>
      </w:pPr>
      <w:r>
        <w:rPr>
          <w:rFonts w:ascii="Times New Roman" w:hAnsi="Times New Roman"/>
          <w:b/>
          <w:sz w:val="22"/>
        </w:rPr>
        <w:t xml:space="preserve">(d)  </w:t>
      </w:r>
      <w:r>
        <w:rPr>
          <w:rFonts w:ascii="Times New Roman" w:hAnsi="Times New Roman"/>
          <w:sz w:val="22"/>
        </w:rPr>
        <w:t>A covered operator shall provide the agreement to a regulatory authority and to an assessor on request, and shall not designate its terms confidential as against either.</w:t>
      </w:r>
    </w:p>
    <w:p>
      <w:pPr>
        <w:pStyle w:val="Heading2"/>
      </w:pPr>
      <w:r>
        <w:rPr>
          <w:rFonts w:ascii="Times New Roman" w:hAnsi="Times New Roman"/>
          <w:b/>
          <w:color w:val="143C46"/>
          <w:sz w:val="23"/>
        </w:rPr>
        <w:t xml:space="preserve">§ 505.  </w:t>
      </w:r>
      <w:r>
        <w:rPr>
          <w:rFonts w:ascii="Times New Roman" w:hAnsi="Times New Roman"/>
          <w:b/>
          <w:color w:val="000000"/>
          <w:sz w:val="23"/>
        </w:rPr>
        <w:t>Expenses and related party transactions</w:t>
      </w:r>
    </w:p>
    <w:p>
      <w:pPr>
        <w:ind w:left="432" w:hanging="432"/>
        <w:jc w:val="both"/>
      </w:pPr>
      <w:r>
        <w:rPr>
          <w:rFonts w:ascii="Times New Roman" w:hAnsi="Times New Roman"/>
          <w:b/>
          <w:sz w:val="22"/>
        </w:rPr>
        <w:t xml:space="preserve">(a)  </w:t>
      </w:r>
      <w:r>
        <w:rPr>
          <w:rFonts w:ascii="Times New Roman" w:hAnsi="Times New Roman"/>
          <w:sz w:val="22"/>
        </w:rPr>
        <w:t>An amount charged to a covered product shall be reasonable in relation to the value of the goods or services supplied, and shall be supported by an invoice or equivalent record identifying the supplier and the basis of the charge.</w:t>
      </w:r>
    </w:p>
    <w:p>
      <w:pPr>
        <w:ind w:left="432" w:hanging="432"/>
        <w:jc w:val="both"/>
      </w:pPr>
      <w:r>
        <w:rPr>
          <w:rFonts w:ascii="Times New Roman" w:hAnsi="Times New Roman"/>
          <w:b/>
          <w:sz w:val="22"/>
        </w:rPr>
        <w:t xml:space="preserve">(b)  </w:t>
      </w:r>
      <w:r>
        <w:rPr>
          <w:rFonts w:ascii="Times New Roman" w:hAnsi="Times New Roman"/>
          <w:sz w:val="22"/>
        </w:rPr>
        <w:t>A licensed organization shall not, and a covered operator shall not cause a licensed organization to, pay an amount to a person who is an officer, director, employee, or member of the organization, or to an affiliate of such a person, in connection with a covered product, except:</w:t>
      </w:r>
    </w:p>
    <w:p>
      <w:pPr>
        <w:ind w:left="864" w:hanging="432"/>
        <w:jc w:val="both"/>
      </w:pPr>
      <w:r>
        <w:rPr>
          <w:rFonts w:ascii="Times New Roman" w:hAnsi="Times New Roman"/>
          <w:b/>
          <w:sz w:val="22"/>
        </w:rPr>
        <w:t xml:space="preserve">(1)  </w:t>
      </w:r>
      <w:r>
        <w:rPr>
          <w:rFonts w:ascii="Times New Roman" w:hAnsi="Times New Roman"/>
          <w:sz w:val="22"/>
        </w:rPr>
        <w:t>compensation for services actually rendered, at a rate not exceeding the rate that would be paid to an unrelated person, approved in advance by the governing body of the organization with the interested person abstaining; and</w:t>
      </w:r>
    </w:p>
    <w:p>
      <w:pPr>
        <w:ind w:left="864" w:hanging="432"/>
        <w:jc w:val="both"/>
      </w:pPr>
      <w:r>
        <w:rPr>
          <w:rFonts w:ascii="Times New Roman" w:hAnsi="Times New Roman"/>
          <w:b/>
          <w:sz w:val="22"/>
        </w:rPr>
        <w:t xml:space="preserve">(2)  </w:t>
      </w:r>
      <w:r>
        <w:rPr>
          <w:rFonts w:ascii="Times New Roman" w:hAnsi="Times New Roman"/>
          <w:sz w:val="22"/>
        </w:rPr>
        <w:t>reimbursement of a documented expense.</w:t>
      </w:r>
    </w:p>
    <w:p>
      <w:pPr>
        <w:ind w:left="432" w:hanging="432"/>
        <w:jc w:val="both"/>
      </w:pPr>
      <w:r>
        <w:rPr>
          <w:rFonts w:ascii="Times New Roman" w:hAnsi="Times New Roman"/>
          <w:b/>
          <w:sz w:val="22"/>
        </w:rPr>
        <w:t xml:space="preserve">(c)  </w:t>
      </w:r>
      <w:r>
        <w:rPr>
          <w:rFonts w:ascii="Times New Roman" w:hAnsi="Times New Roman"/>
          <w:sz w:val="22"/>
        </w:rPr>
        <w:t>A licensed organization shall maintain a register of transactions within subsection (b) and shall report the register under § 602.</w:t>
      </w:r>
    </w:p>
    <w:p>
      <w:pPr>
        <w:ind w:left="432" w:hanging="432"/>
        <w:jc w:val="both"/>
      </w:pPr>
      <w:r>
        <w:rPr>
          <w:rFonts w:ascii="Times New Roman" w:hAnsi="Times New Roman"/>
          <w:b/>
          <w:sz w:val="22"/>
        </w:rPr>
        <w:t xml:space="preserve">(d)  </w:t>
      </w:r>
      <w:r>
        <w:rPr>
          <w:rFonts w:ascii="Times New Roman" w:hAnsi="Times New Roman"/>
          <w:sz w:val="22"/>
        </w:rPr>
        <w:t>A covered operator shall disclose to a licensed organization, before the agreement under § 504 is executed, every relationship between the operator or an affiliate and any officer, director, employee, or member of the organization.</w:t>
      </w:r>
    </w:p>
    <w:p>
      <w:pPr>
        <w:pStyle w:val="Heading2"/>
      </w:pPr>
      <w:r>
        <w:rPr>
          <w:rFonts w:ascii="Times New Roman" w:hAnsi="Times New Roman"/>
          <w:b/>
          <w:color w:val="143C46"/>
          <w:sz w:val="23"/>
        </w:rPr>
        <w:t xml:space="preserve">§ 506.  </w:t>
      </w:r>
      <w:r>
        <w:rPr>
          <w:rFonts w:ascii="Times New Roman" w:hAnsi="Times New Roman"/>
          <w:b/>
          <w:color w:val="000000"/>
          <w:sz w:val="23"/>
        </w:rPr>
        <w:t>Use of proceeds and beneficiary reporting</w:t>
      </w:r>
    </w:p>
    <w:p>
      <w:pPr>
        <w:ind w:left="432" w:hanging="432"/>
        <w:jc w:val="both"/>
      </w:pPr>
      <w:r>
        <w:rPr>
          <w:rFonts w:ascii="Times New Roman" w:hAnsi="Times New Roman"/>
          <w:b/>
          <w:sz w:val="22"/>
        </w:rPr>
        <w:t xml:space="preserve">(a)  </w:t>
      </w:r>
      <w:r>
        <w:rPr>
          <w:rFonts w:ascii="Times New Roman" w:hAnsi="Times New Roman"/>
          <w:sz w:val="22"/>
        </w:rPr>
        <w:t>A licensed organization shall apply amounts within SBCGS-C § 107(d)(1) to a charitable purpose within twelve months after the end of the quarter in which they arose, or shall hold them in the account required by § 206(e) subject to a written plan stating the purpose and the date of application.</w:t>
      </w:r>
    </w:p>
    <w:p>
      <w:pPr>
        <w:ind w:left="432" w:hanging="432"/>
        <w:jc w:val="both"/>
      </w:pPr>
      <w:r>
        <w:rPr>
          <w:rFonts w:ascii="Times New Roman" w:hAnsi="Times New Roman"/>
          <w:b/>
          <w:sz w:val="22"/>
        </w:rPr>
        <w:t xml:space="preserve">(b)  </w:t>
      </w:r>
      <w:r>
        <w:rPr>
          <w:rFonts w:ascii="Times New Roman" w:hAnsi="Times New Roman"/>
          <w:sz w:val="22"/>
        </w:rPr>
        <w:t>A licensed organization shall maintain a record of each disbursement, stating the beneficiary, the amount, the date, and the purpose.</w:t>
      </w:r>
    </w:p>
    <w:p>
      <w:pPr>
        <w:ind w:left="432" w:hanging="432"/>
        <w:jc w:val="both"/>
      </w:pPr>
      <w:r>
        <w:rPr>
          <w:rFonts w:ascii="Times New Roman" w:hAnsi="Times New Roman"/>
          <w:b/>
          <w:sz w:val="22"/>
        </w:rPr>
        <w:t xml:space="preserve">(c)  </w:t>
      </w:r>
      <w:r>
        <w:rPr>
          <w:rFonts w:ascii="Times New Roman" w:hAnsi="Times New Roman"/>
          <w:sz w:val="22"/>
        </w:rPr>
        <w:t>A licensed organization shall not apply amounts within SBCGS-C § 107(d)(1) to:</w:t>
      </w:r>
    </w:p>
    <w:p>
      <w:pPr>
        <w:ind w:left="864" w:hanging="432"/>
        <w:jc w:val="both"/>
      </w:pPr>
      <w:r>
        <w:rPr>
          <w:rFonts w:ascii="Times New Roman" w:hAnsi="Times New Roman"/>
          <w:b/>
          <w:sz w:val="22"/>
        </w:rPr>
        <w:t xml:space="preserve">(1)  </w:t>
      </w:r>
      <w:r>
        <w:rPr>
          <w:rFonts w:ascii="Times New Roman" w:hAnsi="Times New Roman"/>
          <w:sz w:val="22"/>
        </w:rPr>
        <w:t>a payment to a covered operator, a distributor, a manufacturer, a host location, or an affiliate of any of them;</w:t>
      </w:r>
    </w:p>
    <w:p>
      <w:pPr>
        <w:ind w:left="864" w:hanging="432"/>
        <w:jc w:val="both"/>
      </w:pPr>
      <w:r>
        <w:rPr>
          <w:rFonts w:ascii="Times New Roman" w:hAnsi="Times New Roman"/>
          <w:b/>
          <w:sz w:val="22"/>
        </w:rPr>
        <w:t xml:space="preserve">(2)  </w:t>
      </w:r>
      <w:r>
        <w:rPr>
          <w:rFonts w:ascii="Times New Roman" w:hAnsi="Times New Roman"/>
          <w:sz w:val="22"/>
        </w:rPr>
        <w:t>a cost of acquiring, leasing, servicing, monitoring, or financing a covered device; or</w:t>
      </w:r>
    </w:p>
    <w:p>
      <w:pPr>
        <w:ind w:left="864" w:hanging="432"/>
        <w:jc w:val="both"/>
      </w:pPr>
      <w:r>
        <w:rPr>
          <w:rFonts w:ascii="Times New Roman" w:hAnsi="Times New Roman"/>
          <w:b/>
          <w:sz w:val="22"/>
        </w:rPr>
        <w:t xml:space="preserve">(3)  </w:t>
      </w:r>
      <w:r>
        <w:rPr>
          <w:rFonts w:ascii="Times New Roman" w:hAnsi="Times New Roman"/>
          <w:sz w:val="22"/>
        </w:rPr>
        <w:t>a political contribution, or a payment to a person for the purpose of influencing legislation or regulation relating to covered products.</w:t>
      </w:r>
    </w:p>
    <w:p>
      <w:pPr>
        <w:ind w:left="432" w:hanging="432"/>
        <w:jc w:val="both"/>
      </w:pPr>
      <w:r>
        <w:rPr>
          <w:rFonts w:ascii="Times New Roman" w:hAnsi="Times New Roman"/>
          <w:b/>
          <w:sz w:val="22"/>
        </w:rPr>
        <w:t xml:space="preserve">(d)  </w:t>
      </w:r>
      <w:r>
        <w:rPr>
          <w:rFonts w:ascii="Times New Roman" w:hAnsi="Times New Roman"/>
          <w:sz w:val="22"/>
        </w:rPr>
        <w:t>A licensed organization shall report annually under § 602 the total applied to a charitable purpose, the beneficiaries, and the charitable yield for each quarter of the year.</w:t>
      </w:r>
    </w:p>
    <w:p>
      <w:pPr>
        <w:spacing w:before="200" w:after="200"/>
        <w:ind w:left="360" w:right="288"/>
        <w:pBdr>
          <w:top w:val="single" w:sz="4" w:space="8" w:color="B9C6CA"/>
          <w:bottom w:val="single" w:sz="4" w:space="8" w:color="B9C6CA"/>
          <w:left w:val="single" w:sz="4" w:space="8" w:color="B9C6CA"/>
          <w:right w:val="single" w:sz="4" w:space="8" w:color="B9C6CA"/>
        </w:pBdr>
        <w:shd w:val="clear" w:color="auto" w:fill="F2F6F7"/>
      </w:pPr>
      <w:r>
        <w:rPr>
          <w:rFonts w:ascii="Calibri" w:hAnsi="Calibri"/>
          <w:b/>
          <w:color w:val="143C46"/>
          <w:sz w:val="16"/>
        </w:rPr>
        <w:t>NOTE</w:t>
        <w:br/>
      </w:r>
      <w:r>
        <w:rPr>
          <w:rFonts w:ascii="Times New Roman" w:hAnsi="Times New Roman"/>
          <w:sz w:val="20"/>
        </w:rPr>
        <w:t>Paragraph (c)(3) is stated because the industry that supplies these products funds advocacy through the organizations that host them, and a player told that play supports a veterans post has not been told that a share of it supports a lobbying campaign. The prohibition reaches only amounts the organization has counted as applied to a charitable purpose. It does not reach what the organization does with money it has not so counted.</w:t>
      </w:r>
    </w:p>
    <w:p>
      <w:r>
        <w:br w:type="page"/>
      </w:r>
    </w:p>
    <w:p>
      <w:pPr>
        <w:spacing w:after="40"/>
      </w:pPr>
      <w:r>
        <w:rPr>
          <w:rFonts w:ascii="Calibri" w:hAnsi="Calibri"/>
          <w:b/>
          <w:color w:val="143C46"/>
          <w:sz w:val="18"/>
        </w:rPr>
        <w:t>PART 600</w:t>
      </w:r>
    </w:p>
    <w:p>
      <w:pPr>
        <w:pStyle w:val="Heading1"/>
        <w:spacing w:before="0"/>
        <w:pBdr>
          <w:bottom w:val="single" w:sz="8" w:space="6" w:color="143C46"/>
        </w:pBdr>
      </w:pPr>
      <w:r>
        <w:rPr>
          <w:rFonts w:ascii="Times New Roman" w:hAnsi="Times New Roman"/>
          <w:b/>
          <w:color w:val="000000"/>
          <w:sz w:val="30"/>
        </w:rPr>
        <w:t>Records, Reporting, and Audit</w:t>
      </w:r>
    </w:p>
    <w:p>
      <w:pPr>
        <w:pStyle w:val="Heading2"/>
      </w:pPr>
      <w:r>
        <w:rPr>
          <w:rFonts w:ascii="Times New Roman" w:hAnsi="Times New Roman"/>
          <w:b/>
          <w:color w:val="143C46"/>
          <w:sz w:val="23"/>
        </w:rPr>
        <w:t xml:space="preserve">§ 601.  </w:t>
      </w:r>
      <w:r>
        <w:rPr>
          <w:rFonts w:ascii="Times New Roman" w:hAnsi="Times New Roman"/>
          <w:b/>
          <w:color w:val="000000"/>
          <w:sz w:val="23"/>
        </w:rPr>
        <w:t>Records</w:t>
      </w:r>
    </w:p>
    <w:p>
      <w:pPr>
        <w:ind w:left="432" w:hanging="432"/>
        <w:jc w:val="both"/>
      </w:pPr>
      <w:r>
        <w:rPr>
          <w:rFonts w:ascii="Times New Roman" w:hAnsi="Times New Roman"/>
          <w:b/>
          <w:sz w:val="22"/>
        </w:rPr>
        <w:t xml:space="preserve">(a)  </w:t>
      </w:r>
      <w:r>
        <w:rPr>
          <w:rFonts w:ascii="Times New Roman" w:hAnsi="Times New Roman"/>
          <w:sz w:val="22"/>
        </w:rPr>
        <w:t>A covered operator shall create and retain records sufficient to reconstruct, for each covered device:</w:t>
      </w:r>
    </w:p>
    <w:p>
      <w:pPr>
        <w:ind w:left="864" w:hanging="432"/>
        <w:jc w:val="both"/>
      </w:pPr>
      <w:r>
        <w:rPr>
          <w:rFonts w:ascii="Times New Roman" w:hAnsi="Times New Roman"/>
          <w:b/>
          <w:sz w:val="22"/>
        </w:rPr>
        <w:t xml:space="preserve">(1)  </w:t>
      </w:r>
      <w:r>
        <w:rPr>
          <w:rFonts w:ascii="Times New Roman" w:hAnsi="Times New Roman"/>
          <w:sz w:val="22"/>
        </w:rPr>
        <w:t>each play, including the date, time, amount committed, outcome, value returned, and whether a skill element was available and whether it was engaged to completion;</w:t>
      </w:r>
    </w:p>
    <w:p>
      <w:pPr>
        <w:ind w:left="864" w:hanging="432"/>
        <w:jc w:val="both"/>
      </w:pPr>
      <w:r>
        <w:rPr>
          <w:rFonts w:ascii="Times New Roman" w:hAnsi="Times New Roman"/>
          <w:b/>
          <w:sz w:val="22"/>
        </w:rPr>
        <w:t xml:space="preserve">(2)  </w:t>
      </w:r>
      <w:r>
        <w:rPr>
          <w:rFonts w:ascii="Times New Roman" w:hAnsi="Times New Roman"/>
          <w:sz w:val="22"/>
        </w:rPr>
        <w:t>each session, including its start, its end, and the net position at its end;</w:t>
      </w:r>
    </w:p>
    <w:p>
      <w:pPr>
        <w:ind w:left="864" w:hanging="432"/>
        <w:jc w:val="both"/>
      </w:pPr>
      <w:r>
        <w:rPr>
          <w:rFonts w:ascii="Times New Roman" w:hAnsi="Times New Roman"/>
          <w:b/>
          <w:sz w:val="22"/>
        </w:rPr>
        <w:t xml:space="preserve">(3)  </w:t>
      </w:r>
      <w:r>
        <w:rPr>
          <w:rFonts w:ascii="Times New Roman" w:hAnsi="Times New Roman"/>
          <w:sz w:val="22"/>
        </w:rPr>
        <w:t>each commitment of consideration rejected by a control required by this standard, and the control that caused the rejection;</w:t>
      </w:r>
    </w:p>
    <w:p>
      <w:pPr>
        <w:ind w:left="864" w:hanging="432"/>
        <w:jc w:val="both"/>
      </w:pPr>
      <w:r>
        <w:rPr>
          <w:rFonts w:ascii="Times New Roman" w:hAnsi="Times New Roman"/>
          <w:b/>
          <w:sz w:val="22"/>
        </w:rPr>
        <w:t xml:space="preserve">(4)  </w:t>
      </w:r>
      <w:r>
        <w:rPr>
          <w:rFonts w:ascii="Times New Roman" w:hAnsi="Times New Roman"/>
          <w:sz w:val="22"/>
        </w:rPr>
        <w:t>each award and each redemption;</w:t>
      </w:r>
    </w:p>
    <w:p>
      <w:pPr>
        <w:ind w:left="864" w:hanging="432"/>
        <w:jc w:val="both"/>
      </w:pPr>
      <w:r>
        <w:rPr>
          <w:rFonts w:ascii="Times New Roman" w:hAnsi="Times New Roman"/>
          <w:b/>
          <w:sz w:val="22"/>
        </w:rPr>
        <w:t xml:space="preserve">(5)  </w:t>
      </w:r>
      <w:r>
        <w:rPr>
          <w:rFonts w:ascii="Times New Roman" w:hAnsi="Times New Roman"/>
          <w:sz w:val="22"/>
        </w:rPr>
        <w:t>each collection of proceeds and each reconciliation under § 207(e); and</w:t>
      </w:r>
    </w:p>
    <w:p>
      <w:pPr>
        <w:ind w:left="864" w:hanging="432"/>
        <w:jc w:val="both"/>
      </w:pPr>
      <w:r>
        <w:rPr>
          <w:rFonts w:ascii="Times New Roman" w:hAnsi="Times New Roman"/>
          <w:b/>
          <w:sz w:val="22"/>
        </w:rPr>
        <w:t xml:space="preserve">(6)  </w:t>
      </w:r>
      <w:r>
        <w:rPr>
          <w:rFonts w:ascii="Times New Roman" w:hAnsi="Times New Roman"/>
          <w:sz w:val="22"/>
        </w:rPr>
        <w:t>each change within § 207(d), and each certification under § 208.</w:t>
      </w:r>
    </w:p>
    <w:p>
      <w:pPr>
        <w:ind w:left="432" w:hanging="432"/>
        <w:jc w:val="both"/>
      </w:pPr>
      <w:r>
        <w:rPr>
          <w:rFonts w:ascii="Times New Roman" w:hAnsi="Times New Roman"/>
          <w:b/>
          <w:sz w:val="22"/>
        </w:rPr>
        <w:t xml:space="preserve">(b)  </w:t>
      </w:r>
      <w:r>
        <w:rPr>
          <w:rFonts w:ascii="Times New Roman" w:hAnsi="Times New Roman"/>
          <w:sz w:val="22"/>
        </w:rPr>
        <w:t>A licensed organization shall create and retain records sufficient to reconstruct each computation under § 502(b), each disbursement under § 506(b), each agreement under § 504, and each transaction under § 505(b).</w:t>
      </w:r>
    </w:p>
    <w:p>
      <w:pPr>
        <w:ind w:left="432" w:hanging="432"/>
        <w:jc w:val="both"/>
      </w:pPr>
      <w:r>
        <w:rPr>
          <w:rFonts w:ascii="Times New Roman" w:hAnsi="Times New Roman"/>
          <w:b/>
          <w:sz w:val="22"/>
        </w:rPr>
        <w:t xml:space="preserve">(c)  </w:t>
      </w:r>
      <w:r>
        <w:rPr>
          <w:rFonts w:ascii="Times New Roman" w:hAnsi="Times New Roman"/>
          <w:sz w:val="22"/>
        </w:rPr>
        <w:t>A record required by this section shall be retained for not less than five years, in a form that permits it to be produced in a machine readable format on request.</w:t>
      </w:r>
    </w:p>
    <w:p>
      <w:pPr>
        <w:ind w:left="432" w:hanging="432"/>
        <w:jc w:val="both"/>
      </w:pPr>
      <w:r>
        <w:rPr>
          <w:rFonts w:ascii="Times New Roman" w:hAnsi="Times New Roman"/>
          <w:b/>
          <w:sz w:val="22"/>
        </w:rPr>
        <w:t xml:space="preserve">(d)  </w:t>
      </w:r>
      <w:r>
        <w:rPr>
          <w:rFonts w:ascii="Times New Roman" w:hAnsi="Times New Roman"/>
          <w:sz w:val="22"/>
        </w:rPr>
        <w:t>A record shall be maintained so that it cannot be altered without the alteration being detectable, and each alteration shall record the individual who made it and the reason.</w:t>
      </w:r>
    </w:p>
    <w:p>
      <w:pPr>
        <w:spacing w:before="240"/>
        <w:pBdr>
          <w:top w:val="single" w:sz="4" w:space="6" w:color="8A8A8A"/>
        </w:pBdr>
      </w:pPr>
      <w:r>
        <w:rPr>
          <w:rFonts w:ascii="Times New Roman" w:hAnsi="Times New Roman"/>
          <w:i/>
          <w:color w:val="555555"/>
          <w:sz w:val="17"/>
        </w:rPr>
        <w:t>Basis: 25 C.F.R. § 543.23; Minn. R. 7864.0235.</w:t>
      </w:r>
    </w:p>
    <w:p>
      <w:pPr>
        <w:pStyle w:val="Heading2"/>
      </w:pPr>
      <w:r>
        <w:rPr>
          <w:rFonts w:ascii="Times New Roman" w:hAnsi="Times New Roman"/>
          <w:b/>
          <w:color w:val="143C46"/>
          <w:sz w:val="23"/>
        </w:rPr>
        <w:t xml:space="preserve">§ 602.  </w:t>
      </w:r>
      <w:r>
        <w:rPr>
          <w:rFonts w:ascii="Times New Roman" w:hAnsi="Times New Roman"/>
          <w:b/>
          <w:color w:val="000000"/>
          <w:sz w:val="23"/>
        </w:rPr>
        <w:t>Periodic reporting</w:t>
      </w:r>
    </w:p>
    <w:p>
      <w:pPr>
        <w:ind w:left="432" w:hanging="432"/>
        <w:jc w:val="both"/>
      </w:pPr>
      <w:r>
        <w:rPr>
          <w:rFonts w:ascii="Times New Roman" w:hAnsi="Times New Roman"/>
          <w:b/>
          <w:sz w:val="22"/>
        </w:rPr>
        <w:t xml:space="preserve">(a)  </w:t>
      </w:r>
      <w:r>
        <w:rPr>
          <w:rFonts w:ascii="Times New Roman" w:hAnsi="Times New Roman"/>
          <w:sz w:val="22"/>
        </w:rPr>
        <w:t>A covered operator shall report quarterly, to each licensed organization for whose benefit it offers a covered product and to a regulatory authority where one requires it:</w:t>
      </w:r>
    </w:p>
    <w:p>
      <w:pPr>
        <w:ind w:left="864" w:hanging="432"/>
        <w:jc w:val="both"/>
      </w:pPr>
      <w:r>
        <w:rPr>
          <w:rFonts w:ascii="Times New Roman" w:hAnsi="Times New Roman"/>
          <w:b/>
          <w:sz w:val="22"/>
        </w:rPr>
        <w:t xml:space="preserve">(1)  </w:t>
      </w:r>
      <w:r>
        <w:rPr>
          <w:rFonts w:ascii="Times New Roman" w:hAnsi="Times New Roman"/>
          <w:sz w:val="22"/>
        </w:rPr>
        <w:t>the amount committed, the value of awards, and gross gaming revenue, by covered device and in total;</w:t>
      </w:r>
    </w:p>
    <w:p>
      <w:pPr>
        <w:ind w:left="864" w:hanging="432"/>
        <w:jc w:val="both"/>
      </w:pPr>
      <w:r>
        <w:rPr>
          <w:rFonts w:ascii="Times New Roman" w:hAnsi="Times New Roman"/>
          <w:b/>
          <w:sz w:val="22"/>
        </w:rPr>
        <w:t xml:space="preserve">(2)  </w:t>
      </w:r>
      <w:r>
        <w:rPr>
          <w:rFonts w:ascii="Times New Roman" w:hAnsi="Times New Roman"/>
          <w:sz w:val="22"/>
        </w:rPr>
        <w:t>the actual return to player for each covered product, compared with the theoretical return disclosed under § 304(b)(4);</w:t>
      </w:r>
    </w:p>
    <w:p>
      <w:pPr>
        <w:ind w:left="864" w:hanging="432"/>
        <w:jc w:val="both"/>
      </w:pPr>
      <w:r>
        <w:rPr>
          <w:rFonts w:ascii="Times New Roman" w:hAnsi="Times New Roman"/>
          <w:b/>
          <w:sz w:val="22"/>
        </w:rPr>
        <w:t xml:space="preserve">(3)  </w:t>
      </w:r>
      <w:r>
        <w:rPr>
          <w:rFonts w:ascii="Times New Roman" w:hAnsi="Times New Roman"/>
          <w:sz w:val="22"/>
        </w:rPr>
        <w:t>for each skill-represented product, the skill realization rate for the period and the cumulative rate for the current measurement period under SBCGS-C § 106(f);</w:t>
      </w:r>
    </w:p>
    <w:p>
      <w:pPr>
        <w:ind w:left="864" w:hanging="432"/>
        <w:jc w:val="both"/>
      </w:pPr>
      <w:r>
        <w:rPr>
          <w:rFonts w:ascii="Times New Roman" w:hAnsi="Times New Roman"/>
          <w:b/>
          <w:sz w:val="22"/>
        </w:rPr>
        <w:t xml:space="preserve">(4)  </w:t>
      </w:r>
      <w:r>
        <w:rPr>
          <w:rFonts w:ascii="Times New Roman" w:hAnsi="Times New Roman"/>
          <w:sz w:val="22"/>
        </w:rPr>
        <w:t>the number of enrollments in the exclusion program, the number of attempted plays blocked by an exclusion, and the number of sessions in which enforcement was not possible under § 301(e);</w:t>
      </w:r>
    </w:p>
    <w:p>
      <w:pPr>
        <w:ind w:left="864" w:hanging="432"/>
        <w:jc w:val="both"/>
      </w:pPr>
      <w:r>
        <w:rPr>
          <w:rFonts w:ascii="Times New Roman" w:hAnsi="Times New Roman"/>
          <w:b/>
          <w:sz w:val="22"/>
        </w:rPr>
        <w:t xml:space="preserve">(5)  </w:t>
      </w:r>
      <w:r>
        <w:rPr>
          <w:rFonts w:ascii="Times New Roman" w:hAnsi="Times New Roman"/>
          <w:sz w:val="22"/>
        </w:rPr>
        <w:t>the number of sessions in which a limit under § 302 caused a rejection;</w:t>
      </w:r>
    </w:p>
    <w:p>
      <w:pPr>
        <w:ind w:left="864" w:hanging="432"/>
        <w:jc w:val="both"/>
      </w:pPr>
      <w:r>
        <w:rPr>
          <w:rFonts w:ascii="Times New Roman" w:hAnsi="Times New Roman"/>
          <w:b/>
          <w:sz w:val="22"/>
        </w:rPr>
        <w:t xml:space="preserve">(6)  </w:t>
      </w:r>
      <w:r>
        <w:rPr>
          <w:rFonts w:ascii="Times New Roman" w:hAnsi="Times New Roman"/>
          <w:sz w:val="22"/>
        </w:rPr>
        <w:t>the complaint register under § 306(e);</w:t>
      </w:r>
    </w:p>
    <w:p>
      <w:pPr>
        <w:ind w:left="864" w:hanging="432"/>
        <w:jc w:val="both"/>
      </w:pPr>
      <w:r>
        <w:rPr>
          <w:rFonts w:ascii="Times New Roman" w:hAnsi="Times New Roman"/>
          <w:b/>
          <w:sz w:val="22"/>
        </w:rPr>
        <w:t xml:space="preserve">(7)  </w:t>
      </w:r>
      <w:r>
        <w:rPr>
          <w:rFonts w:ascii="Times New Roman" w:hAnsi="Times New Roman"/>
          <w:sz w:val="22"/>
        </w:rPr>
        <w:t>the problem gambling funding paid under § 305(b) and the recipient; and</w:t>
      </w:r>
    </w:p>
    <w:p>
      <w:pPr>
        <w:ind w:left="864" w:hanging="432"/>
        <w:jc w:val="both"/>
      </w:pPr>
      <w:r>
        <w:rPr>
          <w:rFonts w:ascii="Times New Roman" w:hAnsi="Times New Roman"/>
          <w:b/>
          <w:sz w:val="22"/>
        </w:rPr>
        <w:t xml:space="preserve">(8)  </w:t>
      </w:r>
      <w:r>
        <w:rPr>
          <w:rFonts w:ascii="Times New Roman" w:hAnsi="Times New Roman"/>
          <w:sz w:val="22"/>
        </w:rPr>
        <w:t>the number of sessions conducted under § 401(d).</w:t>
      </w:r>
    </w:p>
    <w:p>
      <w:pPr>
        <w:ind w:left="432" w:hanging="432"/>
        <w:jc w:val="both"/>
      </w:pPr>
      <w:r>
        <w:rPr>
          <w:rFonts w:ascii="Times New Roman" w:hAnsi="Times New Roman"/>
          <w:b/>
          <w:sz w:val="22"/>
        </w:rPr>
        <w:t xml:space="preserve">(b)  </w:t>
      </w:r>
      <w:r>
        <w:rPr>
          <w:rFonts w:ascii="Times New Roman" w:hAnsi="Times New Roman"/>
          <w:sz w:val="22"/>
        </w:rPr>
        <w:t>A covered operator shall report annually the placement data required by § 402(d).</w:t>
      </w:r>
    </w:p>
    <w:p>
      <w:pPr>
        <w:ind w:left="432" w:hanging="432"/>
        <w:jc w:val="both"/>
      </w:pPr>
      <w:r>
        <w:rPr>
          <w:rFonts w:ascii="Times New Roman" w:hAnsi="Times New Roman"/>
          <w:b/>
          <w:sz w:val="22"/>
        </w:rPr>
        <w:t xml:space="preserve">(c)  </w:t>
      </w:r>
      <w:r>
        <w:rPr>
          <w:rFonts w:ascii="Times New Roman" w:hAnsi="Times New Roman"/>
          <w:sz w:val="22"/>
        </w:rPr>
        <w:t>A licensed organization shall report quarterly the computation under § 502(b) and annually the information required by § 506(d) and the register required by § 505(c).</w:t>
      </w:r>
    </w:p>
    <w:p>
      <w:pPr>
        <w:ind w:left="432" w:hanging="432"/>
        <w:jc w:val="both"/>
      </w:pPr>
      <w:r>
        <w:rPr>
          <w:rFonts w:ascii="Times New Roman" w:hAnsi="Times New Roman"/>
          <w:b/>
          <w:sz w:val="22"/>
        </w:rPr>
        <w:t xml:space="preserve">(d)  </w:t>
      </w:r>
      <w:r>
        <w:rPr>
          <w:rFonts w:ascii="Times New Roman" w:hAnsi="Times New Roman"/>
          <w:sz w:val="22"/>
        </w:rPr>
        <w:t>A report under this section shall be retained for five years and shall be produced to an assessor on request.</w:t>
      </w:r>
    </w:p>
    <w:p>
      <w:pPr>
        <w:pStyle w:val="Heading2"/>
      </w:pPr>
      <w:r>
        <w:rPr>
          <w:rFonts w:ascii="Times New Roman" w:hAnsi="Times New Roman"/>
          <w:b/>
          <w:color w:val="143C46"/>
          <w:sz w:val="23"/>
        </w:rPr>
        <w:t xml:space="preserve">§ 603.  </w:t>
      </w:r>
      <w:r>
        <w:rPr>
          <w:rFonts w:ascii="Times New Roman" w:hAnsi="Times New Roman"/>
          <w:b/>
          <w:color w:val="000000"/>
          <w:sz w:val="23"/>
        </w:rPr>
        <w:t>Incident reporting</w:t>
      </w:r>
    </w:p>
    <w:p>
      <w:pPr>
        <w:ind w:left="432" w:hanging="432"/>
        <w:jc w:val="both"/>
      </w:pPr>
      <w:r>
        <w:rPr>
          <w:rFonts w:ascii="Times New Roman" w:hAnsi="Times New Roman"/>
          <w:b/>
          <w:sz w:val="22"/>
        </w:rPr>
        <w:t xml:space="preserve">(a)  </w:t>
      </w:r>
      <w:r>
        <w:rPr>
          <w:rFonts w:ascii="Times New Roman" w:hAnsi="Times New Roman"/>
          <w:sz w:val="22"/>
        </w:rPr>
        <w:t>A covered operator shall report each of the following to a regulatory authority where one requires it, to each affected licensed organization, and to its own governing body, within seventy two hours of becoming aware of it:</w:t>
      </w:r>
    </w:p>
    <w:p>
      <w:pPr>
        <w:ind w:left="864" w:hanging="432"/>
        <w:jc w:val="both"/>
      </w:pPr>
      <w:r>
        <w:rPr>
          <w:rFonts w:ascii="Times New Roman" w:hAnsi="Times New Roman"/>
          <w:b/>
          <w:sz w:val="22"/>
        </w:rPr>
        <w:t xml:space="preserve">(1)  </w:t>
      </w:r>
      <w:r>
        <w:rPr>
          <w:rFonts w:ascii="Times New Roman" w:hAnsi="Times New Roman"/>
          <w:sz w:val="22"/>
        </w:rPr>
        <w:t>a failure of a control required by this standard or by SBCGS-T affecting more than one covered device or persisting for more than twenty four hours;</w:t>
      </w:r>
    </w:p>
    <w:p>
      <w:pPr>
        <w:ind w:left="864" w:hanging="432"/>
        <w:jc w:val="both"/>
      </w:pPr>
      <w:r>
        <w:rPr>
          <w:rFonts w:ascii="Times New Roman" w:hAnsi="Times New Roman"/>
          <w:b/>
          <w:sz w:val="22"/>
        </w:rPr>
        <w:t xml:space="preserve">(2)  </w:t>
      </w:r>
      <w:r>
        <w:rPr>
          <w:rFonts w:ascii="Times New Roman" w:hAnsi="Times New Roman"/>
          <w:sz w:val="22"/>
        </w:rPr>
        <w:t>an unauthorized change within § 207(d);</w:t>
      </w:r>
    </w:p>
    <w:p>
      <w:pPr>
        <w:ind w:left="864" w:hanging="432"/>
        <w:jc w:val="both"/>
      </w:pPr>
      <w:r>
        <w:rPr>
          <w:rFonts w:ascii="Times New Roman" w:hAnsi="Times New Roman"/>
          <w:b/>
          <w:sz w:val="22"/>
        </w:rPr>
        <w:t xml:space="preserve">(3)  </w:t>
      </w:r>
      <w:r>
        <w:rPr>
          <w:rFonts w:ascii="Times New Roman" w:hAnsi="Times New Roman"/>
          <w:sz w:val="22"/>
        </w:rPr>
        <w:t>evidence of tampering with a covered device or with the monitoring system;</w:t>
      </w:r>
    </w:p>
    <w:p>
      <w:pPr>
        <w:ind w:left="864" w:hanging="432"/>
        <w:jc w:val="both"/>
      </w:pPr>
      <w:r>
        <w:rPr>
          <w:rFonts w:ascii="Times New Roman" w:hAnsi="Times New Roman"/>
          <w:b/>
          <w:sz w:val="22"/>
        </w:rPr>
        <w:t xml:space="preserve">(4)  </w:t>
      </w:r>
      <w:r>
        <w:rPr>
          <w:rFonts w:ascii="Times New Roman" w:hAnsi="Times New Roman"/>
          <w:sz w:val="22"/>
        </w:rPr>
        <w:t>a variance under § 207(e) exceeding one thousand dollars or not resolved within five business days;</w:t>
      </w:r>
    </w:p>
    <w:p>
      <w:pPr>
        <w:ind w:left="864" w:hanging="432"/>
        <w:jc w:val="both"/>
      </w:pPr>
      <w:r>
        <w:rPr>
          <w:rFonts w:ascii="Times New Roman" w:hAnsi="Times New Roman"/>
          <w:b/>
          <w:sz w:val="22"/>
        </w:rPr>
        <w:t xml:space="preserve">(5)  </w:t>
      </w:r>
      <w:r>
        <w:rPr>
          <w:rFonts w:ascii="Times New Roman" w:hAnsi="Times New Roman"/>
          <w:sz w:val="22"/>
        </w:rPr>
        <w:t>an instance in which a person below twenty one years of age played a covered device;</w:t>
      </w:r>
    </w:p>
    <w:p>
      <w:pPr>
        <w:ind w:left="864" w:hanging="432"/>
        <w:jc w:val="both"/>
      </w:pPr>
      <w:r>
        <w:rPr>
          <w:rFonts w:ascii="Times New Roman" w:hAnsi="Times New Roman"/>
          <w:b/>
          <w:sz w:val="22"/>
        </w:rPr>
        <w:t xml:space="preserve">(6)  </w:t>
      </w:r>
      <w:r>
        <w:rPr>
          <w:rFonts w:ascii="Times New Roman" w:hAnsi="Times New Roman"/>
          <w:sz w:val="22"/>
        </w:rPr>
        <w:t>an instance in which an excluded person played a covered device;</w:t>
      </w:r>
    </w:p>
    <w:p>
      <w:pPr>
        <w:ind w:left="864" w:hanging="432"/>
        <w:jc w:val="both"/>
      </w:pPr>
      <w:r>
        <w:rPr>
          <w:rFonts w:ascii="Times New Roman" w:hAnsi="Times New Roman"/>
          <w:b/>
          <w:sz w:val="22"/>
        </w:rPr>
        <w:t xml:space="preserve">(7)  </w:t>
      </w:r>
      <w:r>
        <w:rPr>
          <w:rFonts w:ascii="Times New Roman" w:hAnsi="Times New Roman"/>
          <w:sz w:val="22"/>
        </w:rPr>
        <w:t>unauthorized access to player data or to exclusion data; and</w:t>
      </w:r>
    </w:p>
    <w:p>
      <w:pPr>
        <w:ind w:left="864" w:hanging="432"/>
        <w:jc w:val="both"/>
      </w:pPr>
      <w:r>
        <w:rPr>
          <w:rFonts w:ascii="Times New Roman" w:hAnsi="Times New Roman"/>
          <w:b/>
          <w:sz w:val="22"/>
        </w:rPr>
        <w:t xml:space="preserve">(8)  </w:t>
      </w:r>
      <w:r>
        <w:rPr>
          <w:rFonts w:ascii="Times New Roman" w:hAnsi="Times New Roman"/>
          <w:sz w:val="22"/>
        </w:rPr>
        <w:t>a determination that a covered product has become a nominal skill product.</w:t>
      </w:r>
    </w:p>
    <w:p>
      <w:pPr>
        <w:ind w:left="432" w:hanging="432"/>
        <w:jc w:val="both"/>
      </w:pPr>
      <w:r>
        <w:rPr>
          <w:rFonts w:ascii="Times New Roman" w:hAnsi="Times New Roman"/>
          <w:b/>
          <w:sz w:val="22"/>
        </w:rPr>
        <w:t xml:space="preserve">(b)  </w:t>
      </w:r>
      <w:r>
        <w:rPr>
          <w:rFonts w:ascii="Times New Roman" w:hAnsi="Times New Roman"/>
          <w:sz w:val="22"/>
        </w:rPr>
        <w:t>The report shall state what occurred, when, which covered devices and which players were affected, what has been done, and what will be done.</w:t>
      </w:r>
    </w:p>
    <w:p>
      <w:pPr>
        <w:pStyle w:val="Heading2"/>
      </w:pPr>
      <w:r>
        <w:rPr>
          <w:rFonts w:ascii="Times New Roman" w:hAnsi="Times New Roman"/>
          <w:b/>
          <w:color w:val="143C46"/>
          <w:sz w:val="23"/>
        </w:rPr>
        <w:t xml:space="preserve">§ 604.  </w:t>
      </w:r>
      <w:r>
        <w:rPr>
          <w:rFonts w:ascii="Times New Roman" w:hAnsi="Times New Roman"/>
          <w:b/>
          <w:color w:val="000000"/>
          <w:sz w:val="23"/>
        </w:rPr>
        <w:t>Audit</w:t>
      </w:r>
    </w:p>
    <w:p>
      <w:pPr>
        <w:ind w:left="432" w:hanging="432"/>
        <w:jc w:val="both"/>
      </w:pPr>
      <w:r>
        <w:rPr>
          <w:rFonts w:ascii="Times New Roman" w:hAnsi="Times New Roman"/>
          <w:b/>
          <w:sz w:val="22"/>
        </w:rPr>
        <w:t xml:space="preserve">(a)  </w:t>
      </w:r>
      <w:r>
        <w:rPr>
          <w:rFonts w:ascii="Times New Roman" w:hAnsi="Times New Roman"/>
          <w:sz w:val="22"/>
        </w:rPr>
        <w:t>A covered operator and a licensed organization shall each maintain an internal audit function, or engage an independent person to perform one, that tests conformity with each section of this standard applicable to it at least annually.</w:t>
      </w:r>
    </w:p>
    <w:p>
      <w:pPr>
        <w:ind w:left="432" w:hanging="432"/>
        <w:jc w:val="both"/>
      </w:pPr>
      <w:r>
        <w:rPr>
          <w:rFonts w:ascii="Times New Roman" w:hAnsi="Times New Roman"/>
          <w:b/>
          <w:sz w:val="22"/>
        </w:rPr>
        <w:t xml:space="preserve">(b)  </w:t>
      </w:r>
      <w:r>
        <w:rPr>
          <w:rFonts w:ascii="Times New Roman" w:hAnsi="Times New Roman"/>
          <w:sz w:val="22"/>
        </w:rPr>
        <w:t>A covered operator with gross gaming revenue from covered products exceeding five million dollars in a calendar year shall obtain, for that year, an examination by an independent public accountant of:</w:t>
      </w:r>
    </w:p>
    <w:p>
      <w:pPr>
        <w:ind w:left="864" w:hanging="432"/>
        <w:jc w:val="both"/>
      </w:pPr>
      <w:r>
        <w:rPr>
          <w:rFonts w:ascii="Times New Roman" w:hAnsi="Times New Roman"/>
          <w:b/>
          <w:sz w:val="22"/>
        </w:rPr>
        <w:t xml:space="preserve">(1)  </w:t>
      </w:r>
      <w:r>
        <w:rPr>
          <w:rFonts w:ascii="Times New Roman" w:hAnsi="Times New Roman"/>
          <w:sz w:val="22"/>
        </w:rPr>
        <w:t>the reconciliation of covered device records to the monitoring system;</w:t>
      </w:r>
    </w:p>
    <w:p>
      <w:pPr>
        <w:ind w:left="864" w:hanging="432"/>
        <w:jc w:val="both"/>
      </w:pPr>
      <w:r>
        <w:rPr>
          <w:rFonts w:ascii="Times New Roman" w:hAnsi="Times New Roman"/>
          <w:b/>
          <w:sz w:val="22"/>
        </w:rPr>
        <w:t xml:space="preserve">(2)  </w:t>
      </w:r>
      <w:r>
        <w:rPr>
          <w:rFonts w:ascii="Times New Roman" w:hAnsi="Times New Roman"/>
          <w:sz w:val="22"/>
        </w:rPr>
        <w:t>the computation of gross gaming revenue;</w:t>
      </w:r>
    </w:p>
    <w:p>
      <w:pPr>
        <w:ind w:left="864" w:hanging="432"/>
        <w:jc w:val="both"/>
      </w:pPr>
      <w:r>
        <w:rPr>
          <w:rFonts w:ascii="Times New Roman" w:hAnsi="Times New Roman"/>
          <w:b/>
          <w:sz w:val="22"/>
        </w:rPr>
        <w:t xml:space="preserve">(3)  </w:t>
      </w:r>
      <w:r>
        <w:rPr>
          <w:rFonts w:ascii="Times New Roman" w:hAnsi="Times New Roman"/>
          <w:sz w:val="22"/>
        </w:rPr>
        <w:t>the segregation of funds under § 206; and</w:t>
      </w:r>
    </w:p>
    <w:p>
      <w:pPr>
        <w:ind w:left="864" w:hanging="432"/>
        <w:jc w:val="both"/>
      </w:pPr>
      <w:r>
        <w:rPr>
          <w:rFonts w:ascii="Times New Roman" w:hAnsi="Times New Roman"/>
          <w:b/>
          <w:sz w:val="22"/>
        </w:rPr>
        <w:t xml:space="preserve">(4)  </w:t>
      </w:r>
      <w:r>
        <w:rPr>
          <w:rFonts w:ascii="Times New Roman" w:hAnsi="Times New Roman"/>
          <w:sz w:val="22"/>
        </w:rPr>
        <w:t>the computation of charitable yield under § 502, where Part 500 applies.</w:t>
      </w:r>
    </w:p>
    <w:p>
      <w:pPr>
        <w:ind w:left="432" w:hanging="432"/>
        <w:jc w:val="both"/>
      </w:pPr>
      <w:r>
        <w:rPr>
          <w:rFonts w:ascii="Times New Roman" w:hAnsi="Times New Roman"/>
          <w:b/>
          <w:sz w:val="22"/>
        </w:rPr>
        <w:t xml:space="preserve">(c)  </w:t>
      </w:r>
      <w:r>
        <w:rPr>
          <w:rFonts w:ascii="Times New Roman" w:hAnsi="Times New Roman"/>
          <w:sz w:val="22"/>
        </w:rPr>
        <w:t>A licensed organization shall obtain annually, from an independent person, a report on the computation under § 502(b) and on conformity with §§ 504 through 506.</w:t>
      </w:r>
    </w:p>
    <w:p>
      <w:pPr>
        <w:ind w:left="432" w:hanging="432"/>
        <w:jc w:val="both"/>
      </w:pPr>
      <w:r>
        <w:rPr>
          <w:rFonts w:ascii="Times New Roman" w:hAnsi="Times New Roman"/>
          <w:b/>
          <w:sz w:val="22"/>
        </w:rPr>
        <w:t xml:space="preserve">(d)  </w:t>
      </w:r>
      <w:r>
        <w:rPr>
          <w:rFonts w:ascii="Times New Roman" w:hAnsi="Times New Roman"/>
          <w:sz w:val="22"/>
        </w:rPr>
        <w:t>An audit report under this section shall be provided to the governing body of the person audited, retained for five years, and produced to an assessor and to a regulatory authority on request.</w:t>
      </w:r>
    </w:p>
    <w:p>
      <w:pPr>
        <w:ind w:left="432" w:hanging="432"/>
        <w:jc w:val="both"/>
      </w:pPr>
      <w:r>
        <w:rPr>
          <w:rFonts w:ascii="Times New Roman" w:hAnsi="Times New Roman"/>
          <w:b/>
          <w:sz w:val="22"/>
        </w:rPr>
        <w:t xml:space="preserve">(e)  </w:t>
      </w:r>
      <w:r>
        <w:rPr>
          <w:rFonts w:ascii="Times New Roman" w:hAnsi="Times New Roman"/>
          <w:sz w:val="22"/>
        </w:rPr>
        <w:t>A person audited shall document, for each finding, the remedial action taken and the date, and shall report unremediated findings in the next report under § 602.</w:t>
      </w:r>
    </w:p>
    <w:p>
      <w:r>
        <w:br w:type="page"/>
      </w:r>
    </w:p>
    <w:p>
      <w:pPr>
        <w:spacing w:after="40"/>
      </w:pPr>
      <w:r>
        <w:rPr>
          <w:rFonts w:ascii="Calibri" w:hAnsi="Calibri"/>
          <w:b/>
          <w:color w:val="143C46"/>
          <w:sz w:val="18"/>
        </w:rPr>
        <w:t>PART 700</w:t>
      </w:r>
    </w:p>
    <w:p>
      <w:pPr>
        <w:pStyle w:val="Heading1"/>
        <w:spacing w:before="0"/>
        <w:pBdr>
          <w:bottom w:val="single" w:sz="8" w:space="6" w:color="143C46"/>
        </w:pBdr>
      </w:pPr>
      <w:r>
        <w:rPr>
          <w:rFonts w:ascii="Times New Roman" w:hAnsi="Times New Roman"/>
          <w:b/>
          <w:color w:val="000000"/>
          <w:sz w:val="30"/>
        </w:rPr>
        <w:t>Certification and Enforcement</w:t>
      </w:r>
    </w:p>
    <w:p>
      <w:pPr>
        <w:pStyle w:val="Heading2"/>
      </w:pPr>
      <w:r>
        <w:rPr>
          <w:rFonts w:ascii="Times New Roman" w:hAnsi="Times New Roman"/>
          <w:b/>
          <w:color w:val="143C46"/>
          <w:sz w:val="23"/>
        </w:rPr>
        <w:t xml:space="preserve">§ 701.  </w:t>
      </w:r>
      <w:r>
        <w:rPr>
          <w:rFonts w:ascii="Times New Roman" w:hAnsi="Times New Roman"/>
          <w:b/>
          <w:color w:val="000000"/>
          <w:sz w:val="23"/>
        </w:rPr>
        <w:t>Assessors</w:t>
      </w:r>
    </w:p>
    <w:p>
      <w:pPr>
        <w:ind w:left="432" w:hanging="432"/>
        <w:jc w:val="both"/>
      </w:pPr>
      <w:r>
        <w:rPr>
          <w:rFonts w:ascii="Times New Roman" w:hAnsi="Times New Roman"/>
          <w:b/>
          <w:sz w:val="22"/>
        </w:rPr>
        <w:t xml:space="preserve">(a)  </w:t>
      </w:r>
      <w:r>
        <w:rPr>
          <w:rFonts w:ascii="Times New Roman" w:hAnsi="Times New Roman"/>
          <w:sz w:val="22"/>
        </w:rPr>
        <w:t>An assessment of conformity with this standard shall be performed by a person that:</w:t>
      </w:r>
    </w:p>
    <w:p>
      <w:pPr>
        <w:ind w:left="864" w:hanging="432"/>
        <w:jc w:val="both"/>
      </w:pPr>
      <w:r>
        <w:rPr>
          <w:rFonts w:ascii="Times New Roman" w:hAnsi="Times New Roman"/>
          <w:b/>
          <w:sz w:val="22"/>
        </w:rPr>
        <w:t xml:space="preserve">(1)  </w:t>
      </w:r>
      <w:r>
        <w:rPr>
          <w:rFonts w:ascii="Times New Roman" w:hAnsi="Times New Roman"/>
          <w:sz w:val="22"/>
        </w:rPr>
        <w:t>is independent of the person assessed, of every affiliate of that person, and of every manufacturer of a covered device used by that person;</w:t>
      </w:r>
    </w:p>
    <w:p>
      <w:pPr>
        <w:ind w:left="864" w:hanging="432"/>
        <w:jc w:val="both"/>
      </w:pPr>
      <w:r>
        <w:rPr>
          <w:rFonts w:ascii="Times New Roman" w:hAnsi="Times New Roman"/>
          <w:b/>
          <w:sz w:val="22"/>
        </w:rPr>
        <w:t xml:space="preserve">(2)  </w:t>
      </w:r>
      <w:r>
        <w:rPr>
          <w:rFonts w:ascii="Times New Roman" w:hAnsi="Times New Roman"/>
          <w:sz w:val="22"/>
        </w:rPr>
        <w:t>has not, within the preceding two years, provided to the person assessed a service relating to the design, operation, or promotion of a covered product;</w:t>
      </w:r>
    </w:p>
    <w:p>
      <w:pPr>
        <w:ind w:left="864" w:hanging="432"/>
        <w:jc w:val="both"/>
      </w:pPr>
      <w:r>
        <w:rPr>
          <w:rFonts w:ascii="Times New Roman" w:hAnsi="Times New Roman"/>
          <w:b/>
          <w:sz w:val="22"/>
        </w:rPr>
        <w:t xml:space="preserve">(3)  </w:t>
      </w:r>
      <w:r>
        <w:rPr>
          <w:rFonts w:ascii="Times New Roman" w:hAnsi="Times New Roman"/>
          <w:sz w:val="22"/>
        </w:rPr>
        <w:t>is not compensated by reference to the outcome of the assessment; and</w:t>
      </w:r>
    </w:p>
    <w:p>
      <w:pPr>
        <w:ind w:left="864" w:hanging="432"/>
        <w:jc w:val="both"/>
      </w:pPr>
      <w:r>
        <w:rPr>
          <w:rFonts w:ascii="Times New Roman" w:hAnsi="Times New Roman"/>
          <w:b/>
          <w:sz w:val="22"/>
        </w:rPr>
        <w:t xml:space="preserve">(4)  </w:t>
      </w:r>
      <w:r>
        <w:rPr>
          <w:rFonts w:ascii="Times New Roman" w:hAnsi="Times New Roman"/>
          <w:sz w:val="22"/>
        </w:rPr>
        <w:t>employs individuals with demonstrated competence in gaming device technical standards, in gaming internal controls, and in the accounting of charitable gaming proceeds.</w:t>
      </w:r>
    </w:p>
    <w:p>
      <w:pPr>
        <w:ind w:left="432" w:hanging="432"/>
        <w:jc w:val="both"/>
      </w:pPr>
      <w:r>
        <w:rPr>
          <w:rFonts w:ascii="Times New Roman" w:hAnsi="Times New Roman"/>
          <w:b/>
          <w:sz w:val="22"/>
        </w:rPr>
        <w:t xml:space="preserve">(b)  </w:t>
      </w:r>
      <w:r>
        <w:rPr>
          <w:rFonts w:ascii="Times New Roman" w:hAnsi="Times New Roman"/>
          <w:sz w:val="22"/>
        </w:rPr>
        <w:t>An assessor shall retain its working papers for five years and shall produce them to a regulatory authority on request.</w:t>
      </w:r>
    </w:p>
    <w:p>
      <w:pPr>
        <w:pStyle w:val="Heading2"/>
      </w:pPr>
      <w:r>
        <w:rPr>
          <w:rFonts w:ascii="Times New Roman" w:hAnsi="Times New Roman"/>
          <w:b/>
          <w:color w:val="143C46"/>
          <w:sz w:val="23"/>
        </w:rPr>
        <w:t xml:space="preserve">§ 702.  </w:t>
      </w:r>
      <w:r>
        <w:rPr>
          <w:rFonts w:ascii="Times New Roman" w:hAnsi="Times New Roman"/>
          <w:b/>
          <w:color w:val="000000"/>
          <w:sz w:val="23"/>
        </w:rPr>
        <w:t>Assessment</w:t>
      </w:r>
    </w:p>
    <w:p>
      <w:pPr>
        <w:ind w:left="432" w:hanging="432"/>
        <w:jc w:val="both"/>
      </w:pPr>
      <w:r>
        <w:rPr>
          <w:rFonts w:ascii="Times New Roman" w:hAnsi="Times New Roman"/>
          <w:b/>
          <w:sz w:val="22"/>
        </w:rPr>
        <w:t xml:space="preserve">(a)  </w:t>
      </w:r>
      <w:r>
        <w:rPr>
          <w:rFonts w:ascii="Times New Roman" w:hAnsi="Times New Roman"/>
          <w:sz w:val="22"/>
        </w:rPr>
        <w:t>An assessment shall cover each section of this standard applicable to the person assessed, and shall state for each section whether the person conforms, does not conform, or conforms subject to an identified deficiency.</w:t>
      </w:r>
    </w:p>
    <w:p>
      <w:pPr>
        <w:ind w:left="432" w:hanging="432"/>
        <w:jc w:val="both"/>
      </w:pPr>
      <w:r>
        <w:rPr>
          <w:rFonts w:ascii="Times New Roman" w:hAnsi="Times New Roman"/>
          <w:b/>
          <w:sz w:val="22"/>
        </w:rPr>
        <w:t xml:space="preserve">(b)  </w:t>
      </w:r>
      <w:r>
        <w:rPr>
          <w:rFonts w:ascii="Times New Roman" w:hAnsi="Times New Roman"/>
          <w:sz w:val="22"/>
        </w:rPr>
        <w:t>An assessment shall include:</w:t>
      </w:r>
    </w:p>
    <w:p>
      <w:pPr>
        <w:ind w:left="864" w:hanging="432"/>
        <w:jc w:val="both"/>
      </w:pPr>
      <w:r>
        <w:rPr>
          <w:rFonts w:ascii="Times New Roman" w:hAnsi="Times New Roman"/>
          <w:b/>
          <w:sz w:val="22"/>
        </w:rPr>
        <w:t xml:space="preserve">(1)  </w:t>
      </w:r>
      <w:r>
        <w:rPr>
          <w:rFonts w:ascii="Times New Roman" w:hAnsi="Times New Roman"/>
          <w:sz w:val="22"/>
        </w:rPr>
        <w:t>examination of the written internal controls against the requirements of this standard;</w:t>
      </w:r>
    </w:p>
    <w:p>
      <w:pPr>
        <w:ind w:left="864" w:hanging="432"/>
        <w:jc w:val="both"/>
      </w:pPr>
      <w:r>
        <w:rPr>
          <w:rFonts w:ascii="Times New Roman" w:hAnsi="Times New Roman"/>
          <w:b/>
          <w:sz w:val="22"/>
        </w:rPr>
        <w:t xml:space="preserve">(2)  </w:t>
      </w:r>
      <w:r>
        <w:rPr>
          <w:rFonts w:ascii="Times New Roman" w:hAnsi="Times New Roman"/>
          <w:sz w:val="22"/>
        </w:rPr>
        <w:t>testing of the operation of controls at a sample of covered devices and host locations sufficient to support the conclusion, with the sample and its basis stated;</w:t>
      </w:r>
    </w:p>
    <w:p>
      <w:pPr>
        <w:ind w:left="864" w:hanging="432"/>
        <w:jc w:val="both"/>
      </w:pPr>
      <w:r>
        <w:rPr>
          <w:rFonts w:ascii="Times New Roman" w:hAnsi="Times New Roman"/>
          <w:b/>
          <w:sz w:val="22"/>
        </w:rPr>
        <w:t xml:space="preserve">(3)  </w:t>
      </w:r>
      <w:r>
        <w:rPr>
          <w:rFonts w:ascii="Times New Roman" w:hAnsi="Times New Roman"/>
          <w:sz w:val="22"/>
        </w:rPr>
        <w:t>examination of each certification obtained under § 208;</w:t>
      </w:r>
    </w:p>
    <w:p>
      <w:pPr>
        <w:ind w:left="864" w:hanging="432"/>
        <w:jc w:val="both"/>
      </w:pPr>
      <w:r>
        <w:rPr>
          <w:rFonts w:ascii="Times New Roman" w:hAnsi="Times New Roman"/>
          <w:b/>
          <w:sz w:val="22"/>
        </w:rPr>
        <w:t xml:space="preserve">(4)  </w:t>
      </w:r>
      <w:r>
        <w:rPr>
          <w:rFonts w:ascii="Times New Roman" w:hAnsi="Times New Roman"/>
          <w:sz w:val="22"/>
        </w:rPr>
        <w:t>recomputation of charitable yield for at least one quarter, where Part 500 applies; and</w:t>
      </w:r>
    </w:p>
    <w:p>
      <w:pPr>
        <w:ind w:left="864" w:hanging="432"/>
        <w:jc w:val="both"/>
      </w:pPr>
      <w:r>
        <w:rPr>
          <w:rFonts w:ascii="Times New Roman" w:hAnsi="Times New Roman"/>
          <w:b/>
          <w:sz w:val="22"/>
        </w:rPr>
        <w:t xml:space="preserve">(5)  </w:t>
      </w:r>
      <w:r>
        <w:rPr>
          <w:rFonts w:ascii="Times New Roman" w:hAnsi="Times New Roman"/>
          <w:sz w:val="22"/>
        </w:rPr>
        <w:t>inspection of the classification record required by SBCGS-C § 108, and verification that it has been reviewed as required by SBCGS-C § 109.</w:t>
      </w:r>
    </w:p>
    <w:p>
      <w:pPr>
        <w:ind w:left="432" w:hanging="432"/>
        <w:jc w:val="both"/>
      </w:pPr>
      <w:r>
        <w:rPr>
          <w:rFonts w:ascii="Times New Roman" w:hAnsi="Times New Roman"/>
          <w:b/>
          <w:sz w:val="22"/>
        </w:rPr>
        <w:t xml:space="preserve">(c)  </w:t>
      </w:r>
      <w:r>
        <w:rPr>
          <w:rFonts w:ascii="Times New Roman" w:hAnsi="Times New Roman"/>
          <w:sz w:val="22"/>
        </w:rPr>
        <w:t>An assessment shall be performed before a person first represents conformity with this standard, and annually thereafter.</w:t>
      </w:r>
    </w:p>
    <w:p>
      <w:pPr>
        <w:pStyle w:val="Heading2"/>
      </w:pPr>
      <w:r>
        <w:rPr>
          <w:rFonts w:ascii="Times New Roman" w:hAnsi="Times New Roman"/>
          <w:b/>
          <w:color w:val="143C46"/>
          <w:sz w:val="23"/>
        </w:rPr>
        <w:t xml:space="preserve">§ 703.  </w:t>
      </w:r>
      <w:r>
        <w:rPr>
          <w:rFonts w:ascii="Times New Roman" w:hAnsi="Times New Roman"/>
          <w:b/>
          <w:color w:val="000000"/>
          <w:sz w:val="23"/>
        </w:rPr>
        <w:t>Certification</w:t>
      </w:r>
    </w:p>
    <w:p>
      <w:pPr>
        <w:ind w:left="432" w:hanging="432"/>
        <w:jc w:val="both"/>
      </w:pPr>
      <w:r>
        <w:rPr>
          <w:rFonts w:ascii="Times New Roman" w:hAnsi="Times New Roman"/>
          <w:b/>
          <w:sz w:val="22"/>
        </w:rPr>
        <w:t xml:space="preserve">(a)  </w:t>
      </w:r>
      <w:r>
        <w:rPr>
          <w:rFonts w:ascii="Times New Roman" w:hAnsi="Times New Roman"/>
          <w:sz w:val="22"/>
        </w:rPr>
        <w:t>A person may represent that it conforms to this standard only where an assessment under § 702 states that it conforms, or that it conforms subject to identified deficiencies each of which has been remediated.</w:t>
      </w:r>
    </w:p>
    <w:p>
      <w:pPr>
        <w:ind w:left="432" w:hanging="432"/>
        <w:jc w:val="both"/>
      </w:pPr>
      <w:r>
        <w:rPr>
          <w:rFonts w:ascii="Times New Roman" w:hAnsi="Times New Roman"/>
          <w:b/>
          <w:sz w:val="22"/>
        </w:rPr>
        <w:t xml:space="preserve">(b)  </w:t>
      </w:r>
      <w:r>
        <w:rPr>
          <w:rFonts w:ascii="Times New Roman" w:hAnsi="Times New Roman"/>
          <w:sz w:val="22"/>
        </w:rPr>
        <w:t>A representation of conformity shall identify the version of this standard, the assessor, the date of the assessment, the covered products and the jurisdictions covered by it, and any section as to which conformity was not assessed.</w:t>
      </w:r>
    </w:p>
    <w:p>
      <w:pPr>
        <w:ind w:left="432" w:hanging="432"/>
        <w:jc w:val="both"/>
      </w:pPr>
      <w:r>
        <w:rPr>
          <w:rFonts w:ascii="Times New Roman" w:hAnsi="Times New Roman"/>
          <w:b/>
          <w:sz w:val="22"/>
        </w:rPr>
        <w:t xml:space="preserve">(c)  </w:t>
      </w:r>
      <w:r>
        <w:rPr>
          <w:rFonts w:ascii="Times New Roman" w:hAnsi="Times New Roman"/>
          <w:sz w:val="22"/>
        </w:rPr>
        <w:t>A representation of conformity is not a representation that a covered product is lawful, and shall not be presented as one.</w:t>
      </w:r>
    </w:p>
    <w:p>
      <w:pPr>
        <w:ind w:left="432" w:hanging="432"/>
        <w:jc w:val="both"/>
      </w:pPr>
      <w:r>
        <w:rPr>
          <w:rFonts w:ascii="Times New Roman" w:hAnsi="Times New Roman"/>
          <w:b/>
          <w:sz w:val="22"/>
        </w:rPr>
        <w:t xml:space="preserve">(d)  </w:t>
      </w:r>
      <w:r>
        <w:rPr>
          <w:rFonts w:ascii="Times New Roman" w:hAnsi="Times New Roman"/>
          <w:sz w:val="22"/>
        </w:rPr>
        <w:t>A person shall withdraw a representation of conformity within thirty days of becoming aware that it no longer conforms, and shall notify each licensed organization and each host location with which it deals.</w:t>
      </w:r>
    </w:p>
    <w:p>
      <w:pPr>
        <w:pStyle w:val="Heading2"/>
      </w:pPr>
      <w:r>
        <w:rPr>
          <w:rFonts w:ascii="Times New Roman" w:hAnsi="Times New Roman"/>
          <w:b/>
          <w:color w:val="143C46"/>
          <w:sz w:val="23"/>
        </w:rPr>
        <w:t xml:space="preserve">§ 704.  </w:t>
      </w:r>
      <w:r>
        <w:rPr>
          <w:rFonts w:ascii="Times New Roman" w:hAnsi="Times New Roman"/>
          <w:b/>
          <w:color w:val="000000"/>
          <w:sz w:val="23"/>
        </w:rPr>
        <w:t>Enforcement by an adopting authority</w:t>
      </w:r>
    </w:p>
    <w:p>
      <w:pPr>
        <w:ind w:left="432" w:hanging="432"/>
        <w:jc w:val="both"/>
      </w:pPr>
      <w:r>
        <w:rPr>
          <w:rFonts w:ascii="Times New Roman" w:hAnsi="Times New Roman"/>
          <w:b/>
          <w:sz w:val="22"/>
        </w:rPr>
        <w:t xml:space="preserve">(a)  </w:t>
      </w:r>
      <w:r>
        <w:rPr>
          <w:rFonts w:ascii="Times New Roman" w:hAnsi="Times New Roman"/>
          <w:sz w:val="22"/>
        </w:rPr>
        <w:t>An authority adopting this standard may provide for:</w:t>
      </w:r>
    </w:p>
    <w:p>
      <w:pPr>
        <w:ind w:left="864" w:hanging="432"/>
        <w:jc w:val="both"/>
      </w:pPr>
      <w:r>
        <w:rPr>
          <w:rFonts w:ascii="Times New Roman" w:hAnsi="Times New Roman"/>
          <w:b/>
          <w:sz w:val="22"/>
        </w:rPr>
        <w:t xml:space="preserve">(1)  </w:t>
      </w:r>
      <w:r>
        <w:rPr>
          <w:rFonts w:ascii="Times New Roman" w:hAnsi="Times New Roman"/>
          <w:sz w:val="22"/>
        </w:rPr>
        <w:t>the disabling of a covered device that does not conform;</w:t>
      </w:r>
    </w:p>
    <w:p>
      <w:pPr>
        <w:ind w:left="864" w:hanging="432"/>
        <w:jc w:val="both"/>
      </w:pPr>
      <w:r>
        <w:rPr>
          <w:rFonts w:ascii="Times New Roman" w:hAnsi="Times New Roman"/>
          <w:b/>
          <w:sz w:val="22"/>
        </w:rPr>
        <w:t xml:space="preserve">(2)  </w:t>
      </w:r>
      <w:r>
        <w:rPr>
          <w:rFonts w:ascii="Times New Roman" w:hAnsi="Times New Roman"/>
          <w:sz w:val="22"/>
        </w:rPr>
        <w:t>a civil penalty for each violation and for each day a violation continues;</w:t>
      </w:r>
    </w:p>
    <w:p>
      <w:pPr>
        <w:ind w:left="864" w:hanging="432"/>
        <w:jc w:val="both"/>
      </w:pPr>
      <w:r>
        <w:rPr>
          <w:rFonts w:ascii="Times New Roman" w:hAnsi="Times New Roman"/>
          <w:b/>
          <w:sz w:val="22"/>
        </w:rPr>
        <w:t xml:space="preserve">(3)  </w:t>
      </w:r>
      <w:r>
        <w:rPr>
          <w:rFonts w:ascii="Times New Roman" w:hAnsi="Times New Roman"/>
          <w:sz w:val="22"/>
        </w:rPr>
        <w:t>an order to cease conduct or to implement a control;</w:t>
      </w:r>
    </w:p>
    <w:p>
      <w:pPr>
        <w:ind w:left="864" w:hanging="432"/>
        <w:jc w:val="both"/>
      </w:pPr>
      <w:r>
        <w:rPr>
          <w:rFonts w:ascii="Times New Roman" w:hAnsi="Times New Roman"/>
          <w:b/>
          <w:sz w:val="22"/>
        </w:rPr>
        <w:t xml:space="preserve">(4)  </w:t>
      </w:r>
      <w:r>
        <w:rPr>
          <w:rFonts w:ascii="Times New Roman" w:hAnsi="Times New Roman"/>
          <w:sz w:val="22"/>
        </w:rPr>
        <w:t>suspension or revocation of an authorization to offer a covered product; and</w:t>
      </w:r>
    </w:p>
    <w:p>
      <w:pPr>
        <w:ind w:left="864" w:hanging="432"/>
        <w:jc w:val="both"/>
      </w:pPr>
      <w:r>
        <w:rPr>
          <w:rFonts w:ascii="Times New Roman" w:hAnsi="Times New Roman"/>
          <w:b/>
          <w:sz w:val="22"/>
        </w:rPr>
        <w:t xml:space="preserve">(5)  </w:t>
      </w:r>
      <w:r>
        <w:rPr>
          <w:rFonts w:ascii="Times New Roman" w:hAnsi="Times New Roman"/>
          <w:sz w:val="22"/>
        </w:rPr>
        <w:t>the withdrawal of a representation of conformity.</w:t>
      </w:r>
    </w:p>
    <w:p>
      <w:pPr>
        <w:ind w:left="432" w:hanging="432"/>
        <w:jc w:val="both"/>
      </w:pPr>
      <w:r>
        <w:rPr>
          <w:rFonts w:ascii="Times New Roman" w:hAnsi="Times New Roman"/>
          <w:b/>
          <w:sz w:val="22"/>
        </w:rPr>
        <w:t xml:space="preserve">(b)  </w:t>
      </w:r>
      <w:r>
        <w:rPr>
          <w:rFonts w:ascii="Times New Roman" w:hAnsi="Times New Roman"/>
          <w:sz w:val="22"/>
        </w:rPr>
        <w:t>This standard states requirements. It does not itself create a private right of action, and an adopting authority determines what remedies attach.</w:t>
      </w:r>
    </w:p>
    <w:p>
      <w:r>
        <w:br w:type="page"/>
      </w:r>
    </w:p>
    <w:p>
      <w:pPr>
        <w:spacing w:after="40"/>
      </w:pPr>
      <w:r>
        <w:rPr>
          <w:rFonts w:ascii="Calibri" w:hAnsi="Calibri"/>
          <w:b/>
          <w:color w:val="143C46"/>
          <w:sz w:val="18"/>
        </w:rPr>
        <w:t>APPENDIX A</w:t>
      </w:r>
    </w:p>
    <w:p>
      <w:pPr>
        <w:pStyle w:val="Heading1"/>
        <w:spacing w:before="0"/>
        <w:pBdr>
          <w:bottom w:val="single" w:sz="8" w:space="6" w:color="143C46"/>
        </w:pBdr>
      </w:pPr>
      <w:r>
        <w:rPr>
          <w:rFonts w:ascii="Times New Roman" w:hAnsi="Times New Roman"/>
          <w:b/>
          <w:color w:val="000000"/>
          <w:sz w:val="30"/>
        </w:rPr>
        <w:t>Matters on Which Comment Is Invited</w:t>
      </w:r>
    </w:p>
    <w:p>
      <w:pPr>
        <w:spacing w:after="120"/>
        <w:ind w:left="504" w:hanging="504"/>
      </w:pPr>
      <w:r>
        <w:rPr>
          <w:rFonts w:ascii="Times New Roman" w:hAnsi="Times New Roman"/>
          <w:b/>
          <w:sz w:val="22"/>
        </w:rPr>
        <w:t xml:space="preserve">1.   </w:t>
      </w:r>
      <w:r>
        <w:rPr>
          <w:rFonts w:ascii="Times New Roman" w:hAnsi="Times New Roman"/>
          <w:b/>
          <w:sz w:val="22"/>
        </w:rPr>
        <w:t>The charitable yield floor in § 502(d).</w:t>
      </w:r>
      <w:r>
        <w:rPr>
          <w:rFonts w:ascii="Times New Roman" w:hAnsi="Times New Roman"/>
          <w:sz w:val="22"/>
        </w:rPr>
        <w:t xml:space="preserve"> Twenty five percent of gross gaming revenue. The Institute selected the figure by reference to the fraction of the player's money that a reasonable player would understand a charitable representation to describe, not by reference to any existing measure, because no existing measure is computed on the same basis. Comment is invited from licensed organizations on what the figure means for a small operation, and from route operators on the cost structure that determines what is attainable.</w:t>
      </w:r>
    </w:p>
    <w:p>
      <w:pPr>
        <w:spacing w:after="120"/>
        <w:ind w:left="504" w:hanging="504"/>
      </w:pPr>
      <w:r>
        <w:rPr>
          <w:rFonts w:ascii="Times New Roman" w:hAnsi="Times New Roman"/>
          <w:b/>
          <w:sz w:val="22"/>
        </w:rPr>
        <w:t xml:space="preserve">2.   </w:t>
      </w:r>
      <w:r>
        <w:rPr>
          <w:rFonts w:ascii="Times New Roman" w:hAnsi="Times New Roman"/>
          <w:b/>
          <w:sz w:val="22"/>
        </w:rPr>
        <w:t>Anonymous play in § 401(d).</w:t>
      </w:r>
      <w:r>
        <w:rPr>
          <w:rFonts w:ascii="Times New Roman" w:hAnsi="Times New Roman"/>
          <w:sz w:val="22"/>
        </w:rPr>
        <w:t xml:space="preserve"> The subsection permits limited anonymous play where a jurisdiction allows it, capped at fifty dollars committed in a session and twenty percent of sessions at a device. The alternative is to require identity in every case, which is defensible and would make § 301(e) enforceable everywhere. Comment is invited on whether the cap is the right accommodation and on whether the twenty percent test is administrable.</w:t>
      </w:r>
    </w:p>
    <w:p>
      <w:pPr>
        <w:spacing w:after="120"/>
        <w:ind w:left="504" w:hanging="504"/>
      </w:pPr>
      <w:r>
        <w:rPr>
          <w:rFonts w:ascii="Times New Roman" w:hAnsi="Times New Roman"/>
          <w:b/>
          <w:sz w:val="22"/>
        </w:rPr>
        <w:t xml:space="preserve">3.   </w:t>
      </w:r>
      <w:r>
        <w:rPr>
          <w:rFonts w:ascii="Times New Roman" w:hAnsi="Times New Roman"/>
          <w:b/>
          <w:sz w:val="22"/>
        </w:rPr>
        <w:t>The problem gambling funding rate in § 305(b).</w:t>
      </w:r>
      <w:r>
        <w:rPr>
          <w:rFonts w:ascii="Times New Roman" w:hAnsi="Times New Roman"/>
          <w:sz w:val="22"/>
        </w:rPr>
        <w:t xml:space="preserve"> Three percent of gross gaming revenue, payable directly by the operator rather than out of a tax. Comment is invited on the rate and on the mechanism.</w:t>
      </w:r>
    </w:p>
    <w:p>
      <w:pPr>
        <w:spacing w:after="120"/>
        <w:ind w:left="504" w:hanging="504"/>
      </w:pPr>
      <w:r>
        <w:rPr>
          <w:rFonts w:ascii="Times New Roman" w:hAnsi="Times New Roman"/>
          <w:b/>
          <w:sz w:val="22"/>
        </w:rPr>
        <w:t xml:space="preserve">4.   </w:t>
      </w:r>
      <w:r>
        <w:rPr>
          <w:rFonts w:ascii="Times New Roman" w:hAnsi="Times New Roman"/>
          <w:b/>
          <w:sz w:val="22"/>
        </w:rPr>
        <w:t>The default daily limit in § 302(b).</w:t>
      </w:r>
      <w:r>
        <w:rPr>
          <w:rFonts w:ascii="Times New Roman" w:hAnsi="Times New Roman"/>
          <w:sz w:val="22"/>
        </w:rPr>
        <w:t xml:space="preserve"> Two hundred fifty dollars, taken from the pending Pennsylvania bill. Comment is invited on whether a default expressed in dollars is the right instrument at a device that does not know who the player is, and on whether a limit expressed as a rate of loss over time would work better.</w:t>
      </w:r>
    </w:p>
    <w:p>
      <w:pPr>
        <w:spacing w:after="120"/>
        <w:ind w:left="504" w:hanging="504"/>
      </w:pPr>
      <w:r>
        <w:rPr>
          <w:rFonts w:ascii="Times New Roman" w:hAnsi="Times New Roman"/>
          <w:b/>
          <w:sz w:val="22"/>
        </w:rPr>
        <w:t xml:space="preserve">5.   </w:t>
      </w:r>
      <w:r>
        <w:rPr>
          <w:rFonts w:ascii="Times New Roman" w:hAnsi="Times New Roman"/>
          <w:b/>
          <w:sz w:val="22"/>
        </w:rPr>
        <w:t>Placement reporting by census tract in § 402(d).</w:t>
      </w:r>
      <w:r>
        <w:rPr>
          <w:rFonts w:ascii="Times New Roman" w:hAnsi="Times New Roman"/>
          <w:sz w:val="22"/>
        </w:rPr>
        <w:t xml:space="preserve"> Comment is invited on the burden, on whether a coarser geography would serve, and on whether the data should be published or held by the regulator.</w:t>
      </w:r>
    </w:p>
    <w:p>
      <w:pPr>
        <w:spacing w:after="120"/>
        <w:ind w:left="504" w:hanging="504"/>
      </w:pPr>
      <w:r>
        <w:rPr>
          <w:rFonts w:ascii="Times New Roman" w:hAnsi="Times New Roman"/>
          <w:b/>
          <w:sz w:val="22"/>
        </w:rPr>
        <w:t xml:space="preserve">6.   </w:t>
      </w:r>
      <w:r>
        <w:rPr>
          <w:rFonts w:ascii="Times New Roman" w:hAnsi="Times New Roman"/>
          <w:b/>
          <w:sz w:val="22"/>
        </w:rPr>
        <w:t>The audit threshold in § 604(b).</w:t>
      </w:r>
      <w:r>
        <w:rPr>
          <w:rFonts w:ascii="Times New Roman" w:hAnsi="Times New Roman"/>
          <w:sz w:val="22"/>
        </w:rPr>
        <w:t xml:space="preserve"> Five million dollars of annual gross gaming revenue. Comment is invited on whether the threshold should instead be stated by device count, which is easier for a small operator to apply.</w:t>
      </w:r>
    </w:p>
    <w:p>
      <w:pPr>
        <w:spacing w:after="120"/>
        <w:ind w:left="504" w:hanging="504"/>
      </w:pPr>
      <w:r>
        <w:rPr>
          <w:rFonts w:ascii="Times New Roman" w:hAnsi="Times New Roman"/>
          <w:b/>
          <w:sz w:val="22"/>
        </w:rPr>
        <w:t xml:space="preserve">7.   </w:t>
      </w:r>
      <w:r>
        <w:rPr>
          <w:rFonts w:ascii="Times New Roman" w:hAnsi="Times New Roman"/>
          <w:b/>
          <w:sz w:val="22"/>
        </w:rPr>
        <w:t>Allocation of duties in § 202(d).</w:t>
      </w:r>
      <w:r>
        <w:rPr>
          <w:rFonts w:ascii="Times New Roman" w:hAnsi="Times New Roman"/>
          <w:sz w:val="22"/>
        </w:rPr>
        <w:t xml:space="preserve"> The table allocates each duty among four parties. Comment is invited from each of them on whether any allocation is impossible to discharge as stated, in particular the enforcement duties placed on a host location that is a volunteer staffed club.</w:t>
      </w:r>
    </w:p>
    <w:p>
      <w:pPr>
        <w:spacing w:after="120"/>
        <w:ind w:left="504" w:hanging="504"/>
      </w:pPr>
      <w:r>
        <w:rPr>
          <w:rFonts w:ascii="Times New Roman" w:hAnsi="Times New Roman"/>
          <w:b/>
          <w:sz w:val="22"/>
        </w:rPr>
        <w:t xml:space="preserve">8.   </w:t>
      </w:r>
      <w:r>
        <w:rPr>
          <w:rFonts w:ascii="Times New Roman" w:hAnsi="Times New Roman"/>
          <w:b/>
          <w:sz w:val="22"/>
        </w:rPr>
        <w:t>Interaction with state charitable gaming law.</w:t>
      </w:r>
      <w:r>
        <w:rPr>
          <w:rFonts w:ascii="Times New Roman" w:hAnsi="Times New Roman"/>
          <w:sz w:val="22"/>
        </w:rPr>
        <w:t xml:space="preserve"> Section 502(c) requires the state measure to be reported alongside charitable yield. Comment is invited from state charitable gaming regulators on whether that is workable within existing return forms, and on what would have to change for charitable yield to be collected as part of an existing filing.</w:t>
      </w:r>
    </w:p>
    <w:p>
      <w:r>
        <w:br w:type="page"/>
      </w:r>
    </w:p>
    <w:p>
      <w:pPr>
        <w:spacing w:after="40"/>
      </w:pPr>
      <w:r>
        <w:rPr>
          <w:rFonts w:ascii="Calibri" w:hAnsi="Calibri"/>
          <w:b/>
          <w:color w:val="143C46"/>
          <w:sz w:val="18"/>
        </w:rPr>
        <w:t>APPENDIX B</w:t>
      </w:r>
    </w:p>
    <w:p>
      <w:pPr>
        <w:pStyle w:val="Heading1"/>
        <w:spacing w:before="0"/>
        <w:pBdr>
          <w:bottom w:val="single" w:sz="8" w:space="6" w:color="143C46"/>
        </w:pBdr>
      </w:pPr>
      <w:r>
        <w:rPr>
          <w:rFonts w:ascii="Times New Roman" w:hAnsi="Times New Roman"/>
          <w:b/>
          <w:color w:val="000000"/>
          <w:sz w:val="30"/>
        </w:rPr>
        <w:t>Documented Gaps in Existing Regulation</w:t>
      </w:r>
    </w:p>
    <w:p>
      <w:pPr>
        <w:jc w:val="both"/>
      </w:pPr>
      <w:r>
        <w:rPr>
          <w:rFonts w:ascii="Times New Roman" w:hAnsi="Times New Roman"/>
          <w:sz w:val="22"/>
        </w:rPr>
        <w:t>The following are requirements in this standard for which the Institute found no counterpart in any framework in force applicable to this category. Each is stated so that a reader can test the claim. Where a partial counterpart exists, it is identified.</w:t>
      </w:r>
    </w:p>
    <w:tbl>
      <w:tblPr>
        <w:tblStyle w:val="TableGrid"/>
        <w:tblW w:type="auto" w:w="0"/>
        <w:jc w:val="center"/>
        <w:tblLayout w:type="autofit"/>
        <w:tblLook w:firstColumn="1" w:firstRow="1" w:lastColumn="0" w:lastRow="0" w:noHBand="0" w:noVBand="1" w:val="04A0"/>
      </w:tblPr>
      <w:tblGrid>
        <w:gridCol w:w="2232"/>
        <w:gridCol w:w="2232"/>
        <w:gridCol w:w="2232"/>
        <w:gridCol w:w="2232"/>
      </w:tblGrid>
      <w:tr>
        <w:tc>
          <w:tcPr>
            <w:tcW w:type="dxa" w:w="2232"/>
            <w:shd w:val="clear" w:color="auto" w:fill="E8ECEE"/>
          </w:tcPr>
          <w:p>
            <w:pPr>
              <w:spacing w:after="40" w:before="40"/>
            </w:pPr>
            <w:r/>
            <w:r>
              <w:rPr>
                <w:rFonts w:ascii="Calibri" w:hAnsi="Calibri"/>
                <w:b/>
                <w:sz w:val="16"/>
              </w:rPr>
              <w:t>Requirement</w:t>
            </w:r>
          </w:p>
        </w:tc>
        <w:tc>
          <w:tcPr>
            <w:tcW w:type="dxa" w:w="2232"/>
            <w:shd w:val="clear" w:color="auto" w:fill="E8ECEE"/>
          </w:tcPr>
          <w:p>
            <w:pPr>
              <w:spacing w:after="40" w:before="40"/>
            </w:pPr>
            <w:r/>
            <w:r>
              <w:rPr>
                <w:rFonts w:ascii="Calibri" w:hAnsi="Calibri"/>
                <w:b/>
                <w:sz w:val="16"/>
              </w:rPr>
              <w:t>Section</w:t>
            </w:r>
          </w:p>
        </w:tc>
        <w:tc>
          <w:tcPr>
            <w:tcW w:type="dxa" w:w="2232"/>
            <w:shd w:val="clear" w:color="auto" w:fill="E8ECEE"/>
          </w:tcPr>
          <w:p>
            <w:pPr>
              <w:spacing w:after="40" w:before="40"/>
            </w:pPr>
            <w:r/>
            <w:r>
              <w:rPr>
                <w:rFonts w:ascii="Calibri" w:hAnsi="Calibri"/>
                <w:b/>
                <w:sz w:val="16"/>
              </w:rPr>
              <w:t>Nearest counterpart found</w:t>
            </w:r>
          </w:p>
        </w:tc>
        <w:tc>
          <w:tcPr>
            <w:tcW w:type="dxa" w:w="2232"/>
            <w:shd w:val="clear" w:color="auto" w:fill="E8ECEE"/>
          </w:tcPr>
          <w:p>
            <w:pPr>
              <w:spacing w:after="40" w:before="40"/>
            </w:pPr>
            <w:r/>
            <w:r>
              <w:rPr>
                <w:rFonts w:ascii="Calibri" w:hAnsi="Calibri"/>
                <w:b/>
                <w:sz w:val="16"/>
              </w:rPr>
              <w:t>Gap</w:t>
            </w:r>
          </w:p>
        </w:tc>
      </w:tr>
      <w:tr>
        <w:tc>
          <w:tcPr>
            <w:tcW w:type="dxa" w:w="2232"/>
          </w:tcPr>
          <w:p>
            <w:pPr>
              <w:spacing w:after="40" w:before="40"/>
            </w:pPr>
            <w:r/>
            <w:r>
              <w:rPr>
                <w:rFonts w:ascii="Times New Roman" w:hAnsi="Times New Roman"/>
                <w:sz w:val="17"/>
              </w:rPr>
              <w:t>Disclosure of the return at absent skill alongside the return at optimal skill</w:t>
            </w:r>
          </w:p>
        </w:tc>
        <w:tc>
          <w:tcPr>
            <w:tcW w:type="dxa" w:w="2232"/>
          </w:tcPr>
          <w:p>
            <w:pPr>
              <w:spacing w:after="40" w:before="40"/>
            </w:pPr>
            <w:r/>
            <w:r>
              <w:rPr>
                <w:rFonts w:ascii="Times New Roman" w:hAnsi="Times New Roman"/>
                <w:sz w:val="17"/>
              </w:rPr>
              <w:t>§ 304(c)(1)</w:t>
            </w:r>
          </w:p>
        </w:tc>
        <w:tc>
          <w:tcPr>
            <w:tcW w:type="dxa" w:w="2232"/>
          </w:tcPr>
          <w:p>
            <w:pPr>
              <w:spacing w:after="40" w:before="40"/>
            </w:pPr>
            <w:r/>
            <w:r>
              <w:rPr>
                <w:rFonts w:ascii="Times New Roman" w:hAnsi="Times New Roman"/>
                <w:sz w:val="17"/>
              </w:rPr>
              <w:t>Nev. Reg. 14.040(1)(a) sets a 75 percent floor and Reg. 14.040(6) requires a bare statement that outcome is affected by player skill. GLI-11 § 4.20.3 requires the same statement where the method of play could fall below the floor</w:t>
            </w:r>
          </w:p>
        </w:tc>
        <w:tc>
          <w:tcPr>
            <w:tcW w:type="dxa" w:w="2232"/>
          </w:tcPr>
          <w:p>
            <w:pPr>
              <w:spacing w:after="40" w:before="40"/>
            </w:pPr>
            <w:r/>
            <w:r>
              <w:rPr>
                <w:rFonts w:ascii="Times New Roman" w:hAnsi="Times New Roman"/>
                <w:sz w:val="17"/>
              </w:rPr>
              <w:t>No source requires either end of the range to be computed or shown</w:t>
            </w:r>
          </w:p>
        </w:tc>
      </w:tr>
      <w:tr>
        <w:tc>
          <w:tcPr>
            <w:tcW w:type="dxa" w:w="2232"/>
          </w:tcPr>
          <w:p>
            <w:pPr>
              <w:spacing w:after="40" w:before="40"/>
            </w:pPr>
            <w:r/>
            <w:r>
              <w:rPr>
                <w:rFonts w:ascii="Times New Roman" w:hAnsi="Times New Roman"/>
                <w:sz w:val="17"/>
              </w:rPr>
              <w:t>Prohibition on making a skill representation for a nominal skill product</w:t>
            </w:r>
          </w:p>
        </w:tc>
        <w:tc>
          <w:tcPr>
            <w:tcW w:type="dxa" w:w="2232"/>
          </w:tcPr>
          <w:p>
            <w:pPr>
              <w:spacing w:after="40" w:before="40"/>
            </w:pPr>
            <w:r/>
            <w:r>
              <w:rPr>
                <w:rFonts w:ascii="Times New Roman" w:hAnsi="Times New Roman"/>
                <w:sz w:val="17"/>
              </w:rPr>
              <w:t>§ 304(d)</w:t>
            </w:r>
          </w:p>
        </w:tc>
        <w:tc>
          <w:tcPr>
            <w:tcW w:type="dxa" w:w="2232"/>
          </w:tcPr>
          <w:p>
            <w:pPr>
              <w:spacing w:after="40" w:before="40"/>
            </w:pPr>
            <w:r/>
            <w:r>
              <w:rPr>
                <w:rFonts w:ascii="Times New Roman" w:hAnsi="Times New Roman"/>
                <w:sz w:val="17"/>
              </w:rPr>
              <w:t>Ohio Rev. Code § 2915.01(UU)(2)(f) disqualifies a device where the skill could not be exercised by a reasonable player</w:t>
            </w:r>
          </w:p>
        </w:tc>
        <w:tc>
          <w:tcPr>
            <w:tcW w:type="dxa" w:w="2232"/>
          </w:tcPr>
          <w:p>
            <w:pPr>
              <w:spacing w:after="40" w:before="40"/>
            </w:pPr>
            <w:r/>
            <w:r>
              <w:rPr>
                <w:rFonts w:ascii="Times New Roman" w:hAnsi="Times New Roman"/>
                <w:sz w:val="17"/>
              </w:rPr>
              <w:t>No source ties the representation to a measured quantity</w:t>
            </w:r>
          </w:p>
        </w:tc>
      </w:tr>
      <w:tr>
        <w:tc>
          <w:tcPr>
            <w:tcW w:type="dxa" w:w="2232"/>
          </w:tcPr>
          <w:p>
            <w:pPr>
              <w:spacing w:after="40" w:before="40"/>
            </w:pPr>
            <w:r/>
            <w:r>
              <w:rPr>
                <w:rFonts w:ascii="Times New Roman" w:hAnsi="Times New Roman"/>
                <w:sz w:val="17"/>
              </w:rPr>
              <w:t>Disclosure of the time cost and incremental value of a skill element</w:t>
            </w:r>
          </w:p>
        </w:tc>
        <w:tc>
          <w:tcPr>
            <w:tcW w:type="dxa" w:w="2232"/>
          </w:tcPr>
          <w:p>
            <w:pPr>
              <w:spacing w:after="40" w:before="40"/>
            </w:pPr>
            <w:r/>
            <w:r>
              <w:rPr>
                <w:rFonts w:ascii="Times New Roman" w:hAnsi="Times New Roman"/>
                <w:sz w:val="17"/>
              </w:rPr>
              <w:t>§ 304(c)(4)</w:t>
            </w:r>
          </w:p>
        </w:tc>
        <w:tc>
          <w:tcPr>
            <w:tcW w:type="dxa" w:w="2232"/>
          </w:tcPr>
          <w:p>
            <w:pPr>
              <w:spacing w:after="40" w:before="40"/>
            </w:pPr>
            <w:r/>
            <w:r>
              <w:rPr>
                <w:rFonts w:ascii="Times New Roman" w:hAnsi="Times New Roman"/>
                <w:sz w:val="17"/>
              </w:rPr>
              <w:t>None</w:t>
            </w:r>
          </w:p>
        </w:tc>
        <w:tc>
          <w:tcPr>
            <w:tcW w:type="dxa" w:w="2232"/>
          </w:tcPr>
          <w:p>
            <w:pPr>
              <w:spacing w:after="40" w:before="40"/>
            </w:pPr>
            <w:r/>
            <w:r>
              <w:rPr>
                <w:rFonts w:ascii="Times New Roman" w:hAnsi="Times New Roman"/>
                <w:sz w:val="17"/>
              </w:rPr>
              <w:t>Complete</w:t>
            </w:r>
          </w:p>
        </w:tc>
      </w:tr>
      <w:tr>
        <w:tc>
          <w:tcPr>
            <w:tcW w:type="dxa" w:w="2232"/>
          </w:tcPr>
          <w:p>
            <w:pPr>
              <w:spacing w:after="40" w:before="40"/>
            </w:pPr>
            <w:r/>
            <w:r>
              <w:rPr>
                <w:rFonts w:ascii="Times New Roman" w:hAnsi="Times New Roman"/>
                <w:sz w:val="17"/>
              </w:rPr>
              <w:t>Charitable yield computed on gross gaming revenue</w:t>
            </w:r>
          </w:p>
        </w:tc>
        <w:tc>
          <w:tcPr>
            <w:tcW w:type="dxa" w:w="2232"/>
          </w:tcPr>
          <w:p>
            <w:pPr>
              <w:spacing w:after="40" w:before="40"/>
            </w:pPr>
            <w:r/>
            <w:r>
              <w:rPr>
                <w:rFonts w:ascii="Times New Roman" w:hAnsi="Times New Roman"/>
                <w:sz w:val="17"/>
              </w:rPr>
              <w:t>§ 502</w:t>
            </w:r>
          </w:p>
        </w:tc>
        <w:tc>
          <w:tcPr>
            <w:tcW w:type="dxa" w:w="2232"/>
          </w:tcPr>
          <w:p>
            <w:pPr>
              <w:spacing w:after="40" w:before="40"/>
            </w:pPr>
            <w:r/>
            <w:r>
              <w:rPr>
                <w:rFonts w:ascii="Times New Roman" w:hAnsi="Times New Roman"/>
                <w:sz w:val="17"/>
              </w:rPr>
              <w:t>State charitable gaming statutes compute a share after prizes and expenses</w:t>
            </w:r>
          </w:p>
        </w:tc>
        <w:tc>
          <w:tcPr>
            <w:tcW w:type="dxa" w:w="2232"/>
          </w:tcPr>
          <w:p>
            <w:pPr>
              <w:spacing w:after="40" w:before="40"/>
            </w:pPr>
            <w:r/>
            <w:r>
              <w:rPr>
                <w:rFonts w:ascii="Times New Roman" w:hAnsi="Times New Roman"/>
                <w:sz w:val="17"/>
              </w:rPr>
              <w:t>No source computes the fraction of the player's money that reaches the purpose</w:t>
            </w:r>
          </w:p>
        </w:tc>
      </w:tr>
      <w:tr>
        <w:tc>
          <w:tcPr>
            <w:tcW w:type="dxa" w:w="2232"/>
          </w:tcPr>
          <w:p>
            <w:pPr>
              <w:spacing w:after="40" w:before="40"/>
            </w:pPr>
            <w:r/>
            <w:r>
              <w:rPr>
                <w:rFonts w:ascii="Times New Roman" w:hAnsi="Times New Roman"/>
                <w:sz w:val="17"/>
              </w:rPr>
              <w:t>Charitable yield displayed to the player at the device</w:t>
            </w:r>
          </w:p>
        </w:tc>
        <w:tc>
          <w:tcPr>
            <w:tcW w:type="dxa" w:w="2232"/>
          </w:tcPr>
          <w:p>
            <w:pPr>
              <w:spacing w:after="40" w:before="40"/>
            </w:pPr>
            <w:r/>
            <w:r>
              <w:rPr>
                <w:rFonts w:ascii="Times New Roman" w:hAnsi="Times New Roman"/>
                <w:sz w:val="17"/>
              </w:rPr>
              <w:t>§ 503</w:t>
            </w:r>
          </w:p>
        </w:tc>
        <w:tc>
          <w:tcPr>
            <w:tcW w:type="dxa" w:w="2232"/>
          </w:tcPr>
          <w:p>
            <w:pPr>
              <w:spacing w:after="40" w:before="40"/>
            </w:pPr>
            <w:r/>
            <w:r>
              <w:rPr>
                <w:rFonts w:ascii="Times New Roman" w:hAnsi="Times New Roman"/>
                <w:sz w:val="17"/>
              </w:rPr>
              <w:t>None</w:t>
            </w:r>
          </w:p>
        </w:tc>
        <w:tc>
          <w:tcPr>
            <w:tcW w:type="dxa" w:w="2232"/>
          </w:tcPr>
          <w:p>
            <w:pPr>
              <w:spacing w:after="40" w:before="40"/>
            </w:pPr>
            <w:r/>
            <w:r>
              <w:rPr>
                <w:rFonts w:ascii="Times New Roman" w:hAnsi="Times New Roman"/>
                <w:sz w:val="17"/>
              </w:rPr>
              <w:t>Complete</w:t>
            </w:r>
          </w:p>
        </w:tc>
      </w:tr>
      <w:tr>
        <w:tc>
          <w:tcPr>
            <w:tcW w:type="dxa" w:w="2232"/>
          </w:tcPr>
          <w:p>
            <w:pPr>
              <w:spacing w:after="40" w:before="40"/>
            </w:pPr>
            <w:r/>
            <w:r>
              <w:rPr>
                <w:rFonts w:ascii="Times New Roman" w:hAnsi="Times New Roman"/>
                <w:sz w:val="17"/>
              </w:rPr>
              <w:t>Floor on charitable yield</w:t>
            </w:r>
          </w:p>
        </w:tc>
        <w:tc>
          <w:tcPr>
            <w:tcW w:type="dxa" w:w="2232"/>
          </w:tcPr>
          <w:p>
            <w:pPr>
              <w:spacing w:after="40" w:before="40"/>
            </w:pPr>
            <w:r/>
            <w:r>
              <w:rPr>
                <w:rFonts w:ascii="Times New Roman" w:hAnsi="Times New Roman"/>
                <w:sz w:val="17"/>
              </w:rPr>
              <w:t>§ 502(d)</w:t>
            </w:r>
          </w:p>
        </w:tc>
        <w:tc>
          <w:tcPr>
            <w:tcW w:type="dxa" w:w="2232"/>
          </w:tcPr>
          <w:p>
            <w:pPr>
              <w:spacing w:after="40" w:before="40"/>
            </w:pPr>
            <w:r/>
            <w:r>
              <w:rPr>
                <w:rFonts w:ascii="Times New Roman" w:hAnsi="Times New Roman"/>
                <w:sz w:val="17"/>
              </w:rPr>
              <w:t>Some states set a minimum share of adjusted receipts</w:t>
            </w:r>
          </w:p>
        </w:tc>
        <w:tc>
          <w:tcPr>
            <w:tcW w:type="dxa" w:w="2232"/>
          </w:tcPr>
          <w:p>
            <w:pPr>
              <w:spacing w:after="40" w:before="40"/>
            </w:pPr>
            <w:r/>
            <w:r>
              <w:rPr>
                <w:rFonts w:ascii="Times New Roman" w:hAnsi="Times New Roman"/>
                <w:sz w:val="17"/>
              </w:rPr>
              <w:t>No source sets a floor on the same basis</w:t>
            </w:r>
          </w:p>
        </w:tc>
      </w:tr>
      <w:tr>
        <w:tc>
          <w:tcPr>
            <w:tcW w:type="dxa" w:w="2232"/>
          </w:tcPr>
          <w:p>
            <w:pPr>
              <w:spacing w:after="40" w:before="40"/>
            </w:pPr>
            <w:r/>
            <w:r>
              <w:rPr>
                <w:rFonts w:ascii="Times New Roman" w:hAnsi="Times New Roman"/>
                <w:sz w:val="17"/>
              </w:rPr>
              <w:t>Prohibition on applying charitable proceeds to lobbying</w:t>
            </w:r>
          </w:p>
        </w:tc>
        <w:tc>
          <w:tcPr>
            <w:tcW w:type="dxa" w:w="2232"/>
          </w:tcPr>
          <w:p>
            <w:pPr>
              <w:spacing w:after="40" w:before="40"/>
            </w:pPr>
            <w:r/>
            <w:r>
              <w:rPr>
                <w:rFonts w:ascii="Times New Roman" w:hAnsi="Times New Roman"/>
                <w:sz w:val="17"/>
              </w:rPr>
              <w:t>§ 506(c)(3)</w:t>
            </w:r>
          </w:p>
        </w:tc>
        <w:tc>
          <w:tcPr>
            <w:tcW w:type="dxa" w:w="2232"/>
          </w:tcPr>
          <w:p>
            <w:pPr>
              <w:spacing w:after="40" w:before="40"/>
            </w:pPr>
            <w:r/>
            <w:r>
              <w:rPr>
                <w:rFonts w:ascii="Times New Roman" w:hAnsi="Times New Roman"/>
                <w:sz w:val="17"/>
              </w:rPr>
              <w:t>Charitable law limits lobbying by exempt organizations generally</w:t>
            </w:r>
          </w:p>
        </w:tc>
        <w:tc>
          <w:tcPr>
            <w:tcW w:type="dxa" w:w="2232"/>
          </w:tcPr>
          <w:p>
            <w:pPr>
              <w:spacing w:after="40" w:before="40"/>
            </w:pPr>
            <w:r/>
            <w:r>
              <w:rPr>
                <w:rFonts w:ascii="Times New Roman" w:hAnsi="Times New Roman"/>
                <w:sz w:val="17"/>
              </w:rPr>
              <w:t>No source addresses it as a condition of the representation made to the player</w:t>
            </w:r>
          </w:p>
        </w:tc>
      </w:tr>
      <w:tr>
        <w:tc>
          <w:tcPr>
            <w:tcW w:type="dxa" w:w="2232"/>
          </w:tcPr>
          <w:p>
            <w:pPr>
              <w:spacing w:after="40" w:before="40"/>
            </w:pPr>
            <w:r/>
            <w:r>
              <w:rPr>
                <w:rFonts w:ascii="Times New Roman" w:hAnsi="Times New Roman"/>
                <w:sz w:val="17"/>
              </w:rPr>
              <w:t>Exclusion honored across product lines within a jurisdiction</w:t>
            </w:r>
          </w:p>
        </w:tc>
        <w:tc>
          <w:tcPr>
            <w:tcW w:type="dxa" w:w="2232"/>
          </w:tcPr>
          <w:p>
            <w:pPr>
              <w:spacing w:after="40" w:before="40"/>
            </w:pPr>
            <w:r/>
            <w:r>
              <w:rPr>
                <w:rFonts w:ascii="Times New Roman" w:hAnsi="Times New Roman"/>
                <w:sz w:val="17"/>
              </w:rPr>
              <w:t>§ 301(i)</w:t>
            </w:r>
          </w:p>
        </w:tc>
        <w:tc>
          <w:tcPr>
            <w:tcW w:type="dxa" w:w="2232"/>
          </w:tcPr>
          <w:p>
            <w:pPr>
              <w:spacing w:after="40" w:before="40"/>
            </w:pPr>
            <w:r/>
            <w:r>
              <w:rPr>
                <w:rFonts w:ascii="Times New Roman" w:hAnsi="Times New Roman"/>
                <w:sz w:val="17"/>
              </w:rPr>
              <w:t>State self-exclusion programs cover casino, video gaming terminal, or sports wagering, each by its own terms</w:t>
            </w:r>
          </w:p>
        </w:tc>
        <w:tc>
          <w:tcPr>
            <w:tcW w:type="dxa" w:w="2232"/>
          </w:tcPr>
          <w:p>
            <w:pPr>
              <w:spacing w:after="40" w:before="40"/>
            </w:pPr>
            <w:r/>
            <w:r>
              <w:rPr>
                <w:rFonts w:ascii="Times New Roman" w:hAnsi="Times New Roman"/>
                <w:sz w:val="17"/>
              </w:rPr>
              <w:t>No source reaches this category</w:t>
            </w:r>
          </w:p>
        </w:tc>
      </w:tr>
      <w:tr>
        <w:tc>
          <w:tcPr>
            <w:tcW w:type="dxa" w:w="2232"/>
          </w:tcPr>
          <w:p>
            <w:pPr>
              <w:spacing w:after="40" w:before="40"/>
            </w:pPr>
            <w:r/>
            <w:r>
              <w:rPr>
                <w:rFonts w:ascii="Times New Roman" w:hAnsi="Times New Roman"/>
                <w:sz w:val="17"/>
              </w:rPr>
              <w:t>Enrollment in exclusion available at the device</w:t>
            </w:r>
          </w:p>
        </w:tc>
        <w:tc>
          <w:tcPr>
            <w:tcW w:type="dxa" w:w="2232"/>
          </w:tcPr>
          <w:p>
            <w:pPr>
              <w:spacing w:after="40" w:before="40"/>
            </w:pPr>
            <w:r/>
            <w:r>
              <w:rPr>
                <w:rFonts w:ascii="Times New Roman" w:hAnsi="Times New Roman"/>
                <w:sz w:val="17"/>
              </w:rPr>
              <w:t>§ 301(a)(1)</w:t>
            </w:r>
          </w:p>
        </w:tc>
        <w:tc>
          <w:tcPr>
            <w:tcW w:type="dxa" w:w="2232"/>
          </w:tcPr>
          <w:p>
            <w:pPr>
              <w:spacing w:after="40" w:before="40"/>
            </w:pPr>
            <w:r/>
            <w:r>
              <w:rPr>
                <w:rFonts w:ascii="Times New Roman" w:hAnsi="Times New Roman"/>
                <w:sz w:val="17"/>
              </w:rPr>
              <w:t>Programs generally require attendance at a casino or a remote application</w:t>
            </w:r>
          </w:p>
        </w:tc>
        <w:tc>
          <w:tcPr>
            <w:tcW w:type="dxa" w:w="2232"/>
          </w:tcPr>
          <w:p>
            <w:pPr>
              <w:spacing w:after="40" w:before="40"/>
            </w:pPr>
            <w:r/>
            <w:r>
              <w:rPr>
                <w:rFonts w:ascii="Times New Roman" w:hAnsi="Times New Roman"/>
                <w:sz w:val="17"/>
              </w:rPr>
              <w:t>No source provides enrollment at the point of exposure</w:t>
            </w:r>
          </w:p>
        </w:tc>
      </w:tr>
      <w:tr>
        <w:tc>
          <w:tcPr>
            <w:tcW w:type="dxa" w:w="2232"/>
          </w:tcPr>
          <w:p>
            <w:pPr>
              <w:spacing w:after="40" w:before="40"/>
            </w:pPr>
            <w:r/>
            <w:r>
              <w:rPr>
                <w:rFonts w:ascii="Times New Roman" w:hAnsi="Times New Roman"/>
                <w:sz w:val="17"/>
              </w:rPr>
              <w:t>Reporting of device placement by census tract</w:t>
            </w:r>
          </w:p>
        </w:tc>
        <w:tc>
          <w:tcPr>
            <w:tcW w:type="dxa" w:w="2232"/>
          </w:tcPr>
          <w:p>
            <w:pPr>
              <w:spacing w:after="40" w:before="40"/>
            </w:pPr>
            <w:r/>
            <w:r>
              <w:rPr>
                <w:rFonts w:ascii="Times New Roman" w:hAnsi="Times New Roman"/>
                <w:sz w:val="17"/>
              </w:rPr>
              <w:t>§ 402(d)</w:t>
            </w:r>
          </w:p>
        </w:tc>
        <w:tc>
          <w:tcPr>
            <w:tcW w:type="dxa" w:w="2232"/>
          </w:tcPr>
          <w:p>
            <w:pPr>
              <w:spacing w:after="40" w:before="40"/>
            </w:pPr>
            <w:r/>
            <w:r>
              <w:rPr>
                <w:rFonts w:ascii="Times New Roman" w:hAnsi="Times New Roman"/>
                <w:sz w:val="17"/>
              </w:rPr>
              <w:t>Virginia collected placement data administratively in 2020 and 2021</w:t>
            </w:r>
          </w:p>
        </w:tc>
        <w:tc>
          <w:tcPr>
            <w:tcW w:type="dxa" w:w="2232"/>
          </w:tcPr>
          <w:p>
            <w:pPr>
              <w:spacing w:after="40" w:before="40"/>
            </w:pPr>
            <w:r/>
            <w:r>
              <w:rPr>
                <w:rFonts w:ascii="Times New Roman" w:hAnsi="Times New Roman"/>
                <w:sz w:val="17"/>
              </w:rPr>
              <w:t>No source imposes it as a continuing requirement</w:t>
            </w:r>
          </w:p>
        </w:tc>
      </w:tr>
      <w:tr>
        <w:tc>
          <w:tcPr>
            <w:tcW w:type="dxa" w:w="2232"/>
          </w:tcPr>
          <w:p>
            <w:pPr>
              <w:spacing w:after="40" w:before="40"/>
            </w:pPr>
            <w:r/>
            <w:r>
              <w:rPr>
                <w:rFonts w:ascii="Times New Roman" w:hAnsi="Times New Roman"/>
                <w:sz w:val="17"/>
              </w:rPr>
              <w:t>Reporting of skill realization rate</w:t>
            </w:r>
          </w:p>
        </w:tc>
        <w:tc>
          <w:tcPr>
            <w:tcW w:type="dxa" w:w="2232"/>
          </w:tcPr>
          <w:p>
            <w:pPr>
              <w:spacing w:after="40" w:before="40"/>
            </w:pPr>
            <w:r/>
            <w:r>
              <w:rPr>
                <w:rFonts w:ascii="Times New Roman" w:hAnsi="Times New Roman"/>
                <w:sz w:val="17"/>
              </w:rPr>
              <w:t>§ 602(a)(3)</w:t>
            </w:r>
          </w:p>
        </w:tc>
        <w:tc>
          <w:tcPr>
            <w:tcW w:type="dxa" w:w="2232"/>
          </w:tcPr>
          <w:p>
            <w:pPr>
              <w:spacing w:after="40" w:before="40"/>
            </w:pPr>
            <w:r/>
            <w:r>
              <w:rPr>
                <w:rFonts w:ascii="Times New Roman" w:hAnsi="Times New Roman"/>
                <w:sz w:val="17"/>
              </w:rPr>
              <w:t>None</w:t>
            </w:r>
          </w:p>
        </w:tc>
        <w:tc>
          <w:tcPr>
            <w:tcW w:type="dxa" w:w="2232"/>
          </w:tcPr>
          <w:p>
            <w:pPr>
              <w:spacing w:after="40" w:before="40"/>
            </w:pPr>
            <w:r/>
            <w:r>
              <w:rPr>
                <w:rFonts w:ascii="Times New Roman" w:hAnsi="Times New Roman"/>
                <w:sz w:val="17"/>
              </w:rPr>
              <w:t>Complete</w:t>
            </w:r>
          </w:p>
        </w:tc>
      </w:tr>
      <w:tr>
        <w:tc>
          <w:tcPr>
            <w:tcW w:type="dxa" w:w="2232"/>
          </w:tcPr>
          <w:p>
            <w:pPr>
              <w:spacing w:after="40" w:before="40"/>
            </w:pPr>
            <w:r/>
            <w:r>
              <w:rPr>
                <w:rFonts w:ascii="Times New Roman" w:hAnsi="Times New Roman"/>
                <w:sz w:val="17"/>
              </w:rPr>
              <w:t>Preservation of game recall for a complaint</w:t>
            </w:r>
          </w:p>
        </w:tc>
        <w:tc>
          <w:tcPr>
            <w:tcW w:type="dxa" w:w="2232"/>
          </w:tcPr>
          <w:p>
            <w:pPr>
              <w:spacing w:after="40" w:before="40"/>
            </w:pPr>
            <w:r/>
            <w:r>
              <w:rPr>
                <w:rFonts w:ascii="Times New Roman" w:hAnsi="Times New Roman"/>
                <w:sz w:val="17"/>
              </w:rPr>
              <w:t>§ 306(d)</w:t>
            </w:r>
          </w:p>
        </w:tc>
        <w:tc>
          <w:tcPr>
            <w:tcW w:type="dxa" w:w="2232"/>
          </w:tcPr>
          <w:p>
            <w:pPr>
              <w:spacing w:after="40" w:before="40"/>
            </w:pPr>
            <w:r/>
            <w:r>
              <w:rPr>
                <w:rFonts w:ascii="Times New Roman" w:hAnsi="Times New Roman"/>
                <w:sz w:val="17"/>
              </w:rPr>
              <w:t>GLI-11 § 4.20.11 requires recall of ten sessions</w:t>
            </w:r>
          </w:p>
        </w:tc>
        <w:tc>
          <w:tcPr>
            <w:tcW w:type="dxa" w:w="2232"/>
          </w:tcPr>
          <w:p>
            <w:pPr>
              <w:spacing w:after="40" w:before="40"/>
            </w:pPr>
            <w:r/>
            <w:r>
              <w:rPr>
                <w:rFonts w:ascii="Times New Roman" w:hAnsi="Times New Roman"/>
                <w:sz w:val="17"/>
              </w:rPr>
              <w:t>No source ties retention to the life of a dispute</w:t>
            </w:r>
          </w:p>
        </w:tc>
      </w:tr>
      <w:tr>
        <w:tc>
          <w:tcPr>
            <w:tcW w:type="dxa" w:w="2232"/>
          </w:tcPr>
          <w:p>
            <w:pPr>
              <w:spacing w:after="40" w:before="40"/>
            </w:pPr>
            <w:r/>
            <w:r>
              <w:rPr>
                <w:rFonts w:ascii="Times New Roman" w:hAnsi="Times New Roman"/>
                <w:sz w:val="17"/>
              </w:rPr>
              <w:t>Written statement of beneficial ownership to the licensed organization</w:t>
            </w:r>
          </w:p>
        </w:tc>
        <w:tc>
          <w:tcPr>
            <w:tcW w:type="dxa" w:w="2232"/>
          </w:tcPr>
          <w:p>
            <w:pPr>
              <w:spacing w:after="40" w:before="40"/>
            </w:pPr>
            <w:r/>
            <w:r>
              <w:rPr>
                <w:rFonts w:ascii="Times New Roman" w:hAnsi="Times New Roman"/>
                <w:sz w:val="17"/>
              </w:rPr>
              <w:t>§ 205(c)</w:t>
            </w:r>
          </w:p>
        </w:tc>
        <w:tc>
          <w:tcPr>
            <w:tcW w:type="dxa" w:w="2232"/>
          </w:tcPr>
          <w:p>
            <w:pPr>
              <w:spacing w:after="40" w:before="40"/>
            </w:pPr>
            <w:r/>
            <w:r>
              <w:rPr>
                <w:rFonts w:ascii="Times New Roman" w:hAnsi="Times New Roman"/>
                <w:sz w:val="17"/>
              </w:rPr>
              <w:t>Licensing regimes collect ownership from the operator</w:t>
            </w:r>
          </w:p>
        </w:tc>
        <w:tc>
          <w:tcPr>
            <w:tcW w:type="dxa" w:w="2232"/>
          </w:tcPr>
          <w:p>
            <w:pPr>
              <w:spacing w:after="40" w:before="40"/>
            </w:pPr>
            <w:r/>
            <w:r>
              <w:rPr>
                <w:rFonts w:ascii="Times New Roman" w:hAnsi="Times New Roman"/>
                <w:sz w:val="17"/>
              </w:rPr>
              <w:t>No source routes it to the charity whose name is used</w:t>
            </w:r>
          </w:p>
        </w:tc>
      </w:tr>
    </w:tbl>
    <w:p>
      <w:pPr>
        <w:spacing w:after="80"/>
      </w:pPr>
    </w:p>
    <w:p>
      <w:pPr>
        <w:jc w:val="both"/>
      </w:pPr>
      <w:r>
        <w:rPr>
          <w:rFonts w:ascii="Times New Roman" w:hAnsi="Times New Roman"/>
          <w:sz w:val="22"/>
        </w:rPr>
        <w:t>End of SBCGS-M Version 1.3 Working Draft.</w:t>
      </w:r>
    </w:p>
    <w:p>
      <w:r>
        <w:br w:type="page"/>
      </w:r>
    </w:p>
    <w:p>
      <w:pPr>
        <w:pStyle w:val="Heading1"/>
        <w:spacing w:before="0"/>
        <w:pBdr>
          <w:bottom w:val="single" w:sz="8" w:space="6" w:color="143C46"/>
        </w:pBdr>
      </w:pPr>
      <w:r>
        <w:rPr>
          <w:rFonts w:ascii="Times New Roman" w:hAnsi="Times New Roman"/>
          <w:b/>
          <w:color w:val="000000"/>
          <w:sz w:val="30"/>
        </w:rPr>
        <w:t>Revision history</w:t>
      </w:r>
    </w:p>
    <w:tbl>
      <w:tblPr>
        <w:tblStyle w:val="TableGrid"/>
        <w:tblW w:type="auto" w:w="0"/>
        <w:jc w:val="center"/>
        <w:tblLook w:firstColumn="1" w:firstRow="1" w:lastColumn="0" w:lastRow="0" w:noHBand="0" w:noVBand="1" w:val="04A0"/>
      </w:tblPr>
      <w:tblGrid>
        <w:gridCol w:w="1786"/>
        <w:gridCol w:w="1786"/>
        <w:gridCol w:w="1786"/>
        <w:gridCol w:w="1786"/>
        <w:gridCol w:w="1786"/>
      </w:tblGrid>
      <w:tr>
        <w:tc>
          <w:tcPr>
            <w:tcW w:type="dxa" w:w="1786"/>
            <w:shd w:val="clear" w:color="auto" w:fill="E8ECEF"/>
          </w:tcPr>
          <w:p>
            <w:r/>
            <w:r>
              <w:rPr>
                <w:rFonts w:ascii="Calibri" w:hAnsi="Calibri"/>
                <w:b/>
                <w:sz w:val="17"/>
              </w:rPr>
              <w:t>Version</w:t>
            </w:r>
          </w:p>
        </w:tc>
        <w:tc>
          <w:tcPr>
            <w:tcW w:type="dxa" w:w="1786"/>
            <w:shd w:val="clear" w:color="auto" w:fill="E8ECEF"/>
          </w:tcPr>
          <w:p>
            <w:r/>
            <w:r>
              <w:rPr>
                <w:rFonts w:ascii="Calibri" w:hAnsi="Calibri"/>
                <w:b/>
                <w:sz w:val="17"/>
              </w:rPr>
              <w:t>Date</w:t>
            </w:r>
          </w:p>
        </w:tc>
        <w:tc>
          <w:tcPr>
            <w:tcW w:type="dxa" w:w="1786"/>
            <w:shd w:val="clear" w:color="auto" w:fill="E8ECEF"/>
          </w:tcPr>
          <w:p>
            <w:r/>
            <w:r>
              <w:rPr>
                <w:rFonts w:ascii="Calibri" w:hAnsi="Calibri"/>
                <w:b/>
                <w:sz w:val="17"/>
              </w:rPr>
              <w:t>Class</w:t>
            </w:r>
          </w:p>
        </w:tc>
        <w:tc>
          <w:tcPr>
            <w:tcW w:type="dxa" w:w="1786"/>
            <w:shd w:val="clear" w:color="auto" w:fill="E8ECEF"/>
          </w:tcPr>
          <w:p>
            <w:r/>
            <w:r>
              <w:rPr>
                <w:rFonts w:ascii="Calibri" w:hAnsi="Calibri"/>
                <w:b/>
                <w:sz w:val="17"/>
              </w:rPr>
              <w:t>Summary</w:t>
            </w:r>
          </w:p>
        </w:tc>
        <w:tc>
          <w:tcPr>
            <w:tcW w:type="dxa" w:w="1786"/>
            <w:shd w:val="clear" w:color="auto" w:fill="E8ECEF"/>
          </w:tcPr>
          <w:p>
            <w:r/>
            <w:r>
              <w:rPr>
                <w:rFonts w:ascii="Calibri" w:hAnsi="Calibri"/>
                <w:b/>
                <w:sz w:val="17"/>
              </w:rPr>
              <w:t>Extent</w:t>
            </w:r>
          </w:p>
        </w:tc>
      </w:tr>
      <w:tr>
        <w:tc>
          <w:tcPr>
            <w:tcW w:type="dxa" w:w="1786"/>
          </w:tcPr>
          <w:p>
            <w:r/>
            <w:r>
              <w:rPr>
                <w:rFonts w:ascii="Times New Roman" w:hAnsi="Times New Roman"/>
                <w:sz w:val="17"/>
              </w:rPr>
              <w:t>1.3</w:t>
            </w:r>
          </w:p>
        </w:tc>
        <w:tc>
          <w:tcPr>
            <w:tcW w:type="dxa" w:w="1786"/>
          </w:tcPr>
          <w:p>
            <w:r/>
            <w:r>
              <w:rPr>
                <w:rFonts w:ascii="Times New Roman" w:hAnsi="Times New Roman"/>
                <w:sz w:val="17"/>
              </w:rPr>
              <w:t>2026-09-11</w:t>
            </w:r>
          </w:p>
        </w:tc>
        <w:tc>
          <w:tcPr>
            <w:tcW w:type="dxa" w:w="1786"/>
          </w:tcPr>
          <w:p>
            <w:r/>
            <w:r>
              <w:rPr>
                <w:rFonts w:ascii="Times New Roman" w:hAnsi="Times New Roman"/>
                <w:sz w:val="17"/>
              </w:rPr>
              <w:t>Substantive</w:t>
            </w:r>
          </w:p>
        </w:tc>
        <w:tc>
          <w:tcPr>
            <w:tcW w:type="dxa" w:w="1786"/>
          </w:tcPr>
          <w:p>
            <w:r/>
            <w:r>
              <w:rPr>
                <w:rFonts w:ascii="Times New Roman" w:hAnsi="Times New Roman"/>
                <w:sz w:val="17"/>
              </w:rPr>
              <w:t>Print stylesheet corrected. In every earlier PDF a table wider than the page was clipped rather than wrapped, so words in the rightmost column of wide tables were not drawn at all, including four occurrences of "capability" in the § 202(d) duty allocation table on page 3. Those words now render. Revision history block added before the License and naming block and in the contents. Prefatory revision note removed, superseded by that block. No requirement text changed.</w:t>
            </w:r>
          </w:p>
        </w:tc>
        <w:tc>
          <w:tcPr>
            <w:tcW w:type="dxa" w:w="1786"/>
          </w:tcPr>
          <w:p>
            <w:r/>
            <w:r>
              <w:rPr>
                <w:rFonts w:ascii="Times New Roman" w:hAnsi="Times New Roman"/>
                <w:sz w:val="17"/>
              </w:rPr>
              <w:t>103 rendered lines, 33 to 33 pages</w:t>
            </w:r>
          </w:p>
        </w:tc>
      </w:tr>
      <w:tr>
        <w:tc>
          <w:tcPr>
            <w:tcW w:type="dxa" w:w="1786"/>
          </w:tcPr>
          <w:p>
            <w:r/>
            <w:r>
              <w:rPr>
                <w:rFonts w:ascii="Times New Roman" w:hAnsi="Times New Roman"/>
                <w:sz w:val="17"/>
              </w:rPr>
              <w:t>1.2</w:t>
            </w:r>
          </w:p>
        </w:tc>
        <w:tc>
          <w:tcPr>
            <w:tcW w:type="dxa" w:w="1786"/>
          </w:tcPr>
          <w:p>
            <w:r/>
            <w:r>
              <w:rPr>
                <w:rFonts w:ascii="Times New Roman" w:hAnsi="Times New Roman"/>
                <w:sz w:val="17"/>
              </w:rPr>
              <w:t>2026-09-03</w:t>
            </w:r>
          </w:p>
        </w:tc>
        <w:tc>
          <w:tcPr>
            <w:tcW w:type="dxa" w:w="1786"/>
          </w:tcPr>
          <w:p>
            <w:r/>
            <w:r>
              <w:rPr>
                <w:rFonts w:ascii="Times New Roman" w:hAnsi="Times New Roman"/>
                <w:sz w:val="17"/>
              </w:rPr>
              <w:t>Editorial</w:t>
            </w:r>
          </w:p>
        </w:tc>
        <w:tc>
          <w:tcPr>
            <w:tcW w:type="dxa" w:w="1786"/>
          </w:tcPr>
          <w:p>
            <w:r/>
            <w:r>
              <w:rPr>
                <w:rFonts w:ascii="Times New Roman" w:hAnsi="Times New Roman"/>
                <w:sz w:val="17"/>
              </w:rPr>
              <w:t>Prefatory revision note replaced. The version 1.1 note claimed a citation correction that the version 1.0 to 1.1 diff does not show. The replacement states that those corrections predate version 1.0. No requirement text changed.</w:t>
            </w:r>
          </w:p>
        </w:tc>
        <w:tc>
          <w:tcPr>
            <w:tcW w:type="dxa" w:w="1786"/>
          </w:tcPr>
          <w:p>
            <w:r/>
            <w:r>
              <w:rPr>
                <w:rFonts w:ascii="Times New Roman" w:hAnsi="Times New Roman"/>
                <w:sz w:val="17"/>
              </w:rPr>
              <w:t>16 rendered lines, 33 to 33 pages</w:t>
            </w:r>
          </w:p>
        </w:tc>
      </w:tr>
      <w:tr>
        <w:tc>
          <w:tcPr>
            <w:tcW w:type="dxa" w:w="1786"/>
          </w:tcPr>
          <w:p>
            <w:r/>
            <w:r>
              <w:rPr>
                <w:rFonts w:ascii="Times New Roman" w:hAnsi="Times New Roman"/>
                <w:sz w:val="17"/>
              </w:rPr>
              <w:t>1.1</w:t>
            </w:r>
          </w:p>
        </w:tc>
        <w:tc>
          <w:tcPr>
            <w:tcW w:type="dxa" w:w="1786"/>
          </w:tcPr>
          <w:p>
            <w:r/>
            <w:r>
              <w:rPr>
                <w:rFonts w:ascii="Times New Roman" w:hAnsi="Times New Roman"/>
                <w:sz w:val="17"/>
              </w:rPr>
              <w:t>2026-08-11</w:t>
            </w:r>
          </w:p>
        </w:tc>
        <w:tc>
          <w:tcPr>
            <w:tcW w:type="dxa" w:w="1786"/>
          </w:tcPr>
          <w:p>
            <w:r/>
            <w:r>
              <w:rPr>
                <w:rFonts w:ascii="Times New Roman" w:hAnsi="Times New Roman"/>
                <w:sz w:val="17"/>
              </w:rPr>
              <w:t>Editorial</w:t>
            </w:r>
          </w:p>
        </w:tc>
        <w:tc>
          <w:tcPr>
            <w:tcW w:type="dxa" w:w="1786"/>
          </w:tcPr>
          <w:p>
            <w:r/>
            <w:r>
              <w:rPr>
                <w:rFonts w:ascii="Times New Roman" w:hAnsi="Times New Roman"/>
                <w:sz w:val="17"/>
              </w:rPr>
              <w:t>License and naming block added at the end of the document. Version lineage stated on the cover. No requirement text changed.</w:t>
            </w:r>
          </w:p>
        </w:tc>
        <w:tc>
          <w:tcPr>
            <w:tcW w:type="dxa" w:w="1786"/>
          </w:tcPr>
          <w:p>
            <w:r/>
            <w:r>
              <w:rPr>
                <w:rFonts w:ascii="Times New Roman" w:hAnsi="Times New Roman"/>
                <w:sz w:val="17"/>
              </w:rPr>
              <w:t>23 rendered lines, 32 to 33 pages</w:t>
            </w:r>
          </w:p>
        </w:tc>
      </w:tr>
      <w:tr>
        <w:tc>
          <w:tcPr>
            <w:tcW w:type="dxa" w:w="1786"/>
          </w:tcPr>
          <w:p>
            <w:r/>
            <w:r>
              <w:rPr>
                <w:rFonts w:ascii="Times New Roman" w:hAnsi="Times New Roman"/>
                <w:sz w:val="17"/>
              </w:rPr>
              <w:t>1.0</w:t>
            </w:r>
          </w:p>
        </w:tc>
        <w:tc>
          <w:tcPr>
            <w:tcW w:type="dxa" w:w="1786"/>
          </w:tcPr>
          <w:p>
            <w:r/>
            <w:r>
              <w:rPr>
                <w:rFonts w:ascii="Times New Roman" w:hAnsi="Times New Roman"/>
                <w:sz w:val="17"/>
              </w:rPr>
              <w:t>2026-08-10</w:t>
            </w:r>
          </w:p>
        </w:tc>
        <w:tc>
          <w:tcPr>
            <w:tcW w:type="dxa" w:w="1786"/>
          </w:tcPr>
          <w:p>
            <w:r/>
            <w:r>
              <w:rPr>
                <w:rFonts w:ascii="Times New Roman" w:hAnsi="Times New Roman"/>
                <w:sz w:val="17"/>
              </w:rPr>
              <w:t>Editorial</w:t>
            </w:r>
          </w:p>
        </w:tc>
        <w:tc>
          <w:tcPr>
            <w:tcW w:type="dxa" w:w="1786"/>
          </w:tcPr>
          <w:p>
            <w:r/>
            <w:r>
              <w:rPr>
                <w:rFonts w:ascii="Times New Roman" w:hAnsi="Times New Roman"/>
                <w:sz w:val="17"/>
              </w:rPr>
              <w:t>First publication.</w:t>
            </w:r>
          </w:p>
        </w:tc>
        <w:tc>
          <w:tcPr>
            <w:tcW w:type="dxa" w:w="1786"/>
          </w:tcPr>
          <w:p>
            <w:r/>
            <w:r>
              <w:rPr>
                <w:rFonts w:ascii="Times New Roman" w:hAnsi="Times New Roman"/>
                <w:sz w:val="17"/>
              </w:rPr>
              <w:t>not published, 32 pages</w:t>
            </w:r>
          </w:p>
        </w:tc>
      </w:tr>
    </w:tbl>
    <w:p>
      <w:pPr>
        <w:spacing w:before="480" w:after="120"/>
        <w:pBdr>
          <w:top w:val="single" w:sz="4" w:space="10" w:color="8A8A8A"/>
        </w:pBdr>
      </w:pPr>
      <w:r>
        <w:rPr>
          <w:rFonts w:ascii="Calibri" w:hAnsi="Calibri"/>
          <w:b/>
          <w:color w:val="555555"/>
          <w:sz w:val="18"/>
        </w:rPr>
        <w:t>LICENSE AND NAMING</w:t>
      </w:r>
    </w:p>
    <w:p>
      <w:pPr>
        <w:spacing w:after="120"/>
      </w:pPr>
      <w:r>
        <w:rPr>
          <w:rFonts w:ascii="Times New Roman" w:hAnsi="Times New Roman"/>
          <w:color w:val="333333"/>
          <w:sz w:val="18"/>
        </w:rPr>
        <w:t>(c) 2026 Aevora Solutions LLC. Published by the Institute for Emerging Gaming Markets.</w:t>
      </w:r>
    </w:p>
    <w:p>
      <w:pPr>
        <w:spacing w:after="120"/>
      </w:pPr>
      <w:r>
        <w:rPr>
          <w:rFonts w:ascii="Times New Roman" w:hAnsi="Times New Roman"/>
          <w:color w:val="333333"/>
          <w:sz w:val="18"/>
        </w:rPr>
        <w:t>This document is licensed under the Creative Commons Attribution 4.0 International License (CC BY 4.0). You may copy, redistribute, adapt and build upon this material for any purpose, including commercially, provided you give appropriate credit to the Institute for Emerging Gaming Markets, provide a link to the license, and indicate whether changes were made. https://creativecommons.org/licenses/by/4.0/</w:t>
      </w:r>
    </w:p>
    <w:p>
      <w:pPr>
        <w:spacing w:after="120"/>
      </w:pPr>
      <w:r>
        <w:rPr>
          <w:rFonts w:ascii="Times New Roman" w:hAnsi="Times New Roman"/>
          <w:color w:val="333333"/>
          <w:sz w:val="18"/>
        </w:rPr>
        <w:t>SBCGS and Institute for Emerging Gaming Markets identify the source of this document. A modified version may not be described as SBCGS-C, SBCGS-M or SBCGS-T, or as an Institute standard. Conformance with this standard may be claimed only in respect of the document as published, without modification.</w:t>
      </w:r>
    </w:p>
    <w:p>
      <w:pPr>
        <w:spacing w:before="520"/>
        <w:jc w:val="center"/>
        <w:pBdr>
          <w:top w:val="single" w:sz="4" w:space="12" w:color="8A8A8A"/>
        </w:pBdr>
      </w:pPr>
      <w:r>
        <w:rPr>
          <w:rFonts w:ascii="Calibri" w:hAnsi="Calibri"/>
          <w:b/>
          <w:color w:val="333333"/>
          <w:sz w:val="16"/>
        </w:rPr>
        <w:t>Institute for Emerging Gaming Markets</w:t>
      </w:r>
      <w:r>
        <w:br/>
      </w:r>
      <w:r>
        <w:rPr>
          <w:rFonts w:ascii="Calibri" w:hAnsi="Calibri"/>
          <w:b w:val="0"/>
          <w:color w:val="555555"/>
          <w:sz w:val="16"/>
        </w:rPr>
        <w:t>A standards body under Aevora Solutions LLC</w:t>
      </w:r>
      <w:r>
        <w:br/>
      </w:r>
      <w:r>
        <w:rPr>
          <w:rFonts w:ascii="Calibri" w:hAnsi="Calibri"/>
          <w:b w:val="0"/>
          <w:color w:val="555555"/>
          <w:sz w:val="16"/>
        </w:rPr>
        <w:t>Charleston, South Carolina  ·  iegm.org</w:t>
      </w:r>
      <w:r>
        <w:br/>
      </w:r>
      <w:r>
        <w:rPr>
          <w:rFonts w:ascii="Calibri" w:hAnsi="Calibri"/>
          <w:b w:val="0"/>
          <w:color w:val="555555"/>
          <w:sz w:val="16"/>
        </w:rPr>
      </w:r>
      <w:r>
        <w:br/>
      </w:r>
      <w:r>
        <w:rPr>
          <w:rFonts w:ascii="Calibri" w:hAnsi="Calibri"/>
          <w:b w:val="0"/>
          <w:color w:val="555555"/>
          <w:sz w:val="16"/>
        </w:rPr>
        <w:t>SBCGS-M Version 1.3, Working Draft. This document has not been adopted by any regulatory authority.</w:t>
      </w:r>
    </w:p>
    <w:sectPr w:rsidR="00FC693F" w:rsidRPr="0006063C" w:rsidSect="00034616">
      <w:headerReference w:type="default" r:id="rId9"/>
      <w:footerReference w:type="default" r:id="rId10"/>
      <w:pgSz w:w="12240" w:h="15840"/>
      <w:pgMar w:top="1440" w:right="1656" w:bottom="1440" w:left="1656" w:header="792"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55555"/>
        <w:sz w:val="16"/>
      </w:rPr>
      <w:t xml:space="preserve">Prepared by Tony Morelli, PhD  ·  Institute for Emerging Gaming Markets  ·  Charleston, SC  ·  Page </w:t>
    </w:r>
    <w:r>
      <w:rPr>
        <w:rFonts w:ascii="Calibri" w:hAnsi="Calibri"/>
        <w:color w:val="555555"/>
        <w:sz w:val="16"/>
      </w:rPr>
      <w:fldChar w:fldCharType="begin"/>
      <w:instrText xml:space="preserve">PAGE</w:instrText>
      <w:fldChar w:fldCharType="separate"/>
      <w:t> </w:t>
      <w:fldChar w:fldCharType="end"/>
    </w:r>
    <w:r>
      <w:rPr>
        <w:rFonts w:ascii="Calibri" w:hAnsi="Calibri"/>
        <w:color w:val="555555"/>
        <w:sz w:val="16"/>
      </w:rPr>
      <w:t xml:space="preserve"> of </w:t>
    </w:r>
    <w:r>
      <w:rPr>
        <w:rFonts w:ascii="Calibri" w:hAnsi="Calibri"/>
        <w:color w:val="555555"/>
        <w:sz w:val="16"/>
      </w:rPr>
      <w:fldChar w:fldCharType="begin"/>
      <w:instrText xml:space="preserve">NUMPAGES</w:instrText>
      <w:fldChar w:fldCharType="separate"/>
      <w:t> </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4" w:color="8A8A8A"/>
      </w:pBdr>
    </w:pPr>
    <w:r>
      <w:rPr>
        <w:rFonts w:ascii="Calibri" w:hAnsi="Calibri"/>
        <w:color w:val="555555"/>
        <w:sz w:val="16"/>
      </w:rPr>
      <w:t>Skill-Based Charitable Gaming Standards    ·    SBCGS-M    ·    Minimum Internal Control Standards    ·    Working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4"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outlineLvl w:val="0"/>
    </w:pPr>
    <w:rPr>
      <w:rFonts w:asciiTheme="majorHAnsi" w:eastAsiaTheme="majorEastAsia" w:hAnsiTheme="majorHAnsi" w:cstheme="majorBidi"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SBCGS-M v1.3 Minimum Internal Control Standards</dc:title>
  <dc:subject>Skill-Based Charitable Gaming Standards</dc:subject>
  <dc:creator>Institute for Emerging Gaming Markets</dc:creator>
  <cp:keywords>SBCGS, SBCGS-M, Minimum Internal Control Standards, working draft</cp:keywords>
  <dc:description>(c) 2026 Aevora Solutions LLC. Published by the Institute for Emerging Gaming Markets.</dc:description>
  <cp:lastModifiedBy>Institute for Emerging Gaming Markets</cp:lastModifiedBy>
  <cp:revision>1</cp:revision>
  <dcterms:created xsi:type="dcterms:W3CDTF">2013-12-23T23:15:00Z</dcterms:created>
  <dcterms:modified xsi:type="dcterms:W3CDTF">2013-12-23T23:15:00Z</dcterms:modified>
  <cp:category>Standard</cp:category>
</cp:coreProperties>
</file>