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spacing w:after="400" w:before="0"/>
        <w:jc w:val="center"/>
      </w:pPr>
      <w:r>
        <w:rPr>
          <w:rFonts w:ascii="Times New Roman" w:hAnsi="Times New Roman"/>
          <w:b w:val="0"/>
          <w:caps/>
          <w:color w:val="555555"/>
          <w:sz w:val="24"/>
        </w:rPr>
        <w:t>Skill-Based Charitable Gaming Standards</w:t>
      </w:r>
    </w:p>
    <w:p>
      <w:pPr>
        <w:spacing w:after="200" w:before="0"/>
        <w:jc w:val="center"/>
      </w:pPr>
      <w:r>
        <w:rPr>
          <w:rFonts w:ascii="Times New Roman" w:hAnsi="Times New Roman"/>
          <w:b/>
          <w:sz w:val="52"/>
        </w:rPr>
        <w:t>Technical Standards</w:t>
      </w:r>
    </w:p>
    <w:p>
      <w:pPr>
        <w:spacing w:after="520" w:before="0"/>
        <w:jc w:val="center"/>
      </w:pPr>
      <w:r>
        <w:rPr>
          <w:rFonts w:ascii="Times New Roman" w:hAnsi="Times New Roman"/>
          <w:b w:val="0"/>
          <w:color w:val="143C46"/>
          <w:sz w:val="24"/>
        </w:rPr>
        <w:t>SBCGS-T  ·  Version 1.3, Working Draft for Comment</w:t>
      </w:r>
    </w:p>
    <w:p>
      <w:pPr>
        <w:spacing w:after="440"/>
        <w:pBdr>
          <w:bottom w:val="single" w:sz="12" w:space="6" w:color="143C46"/>
        </w:pBdr>
      </w:pPr>
    </w:p>
    <w:p>
      <w:pPr>
        <w:spacing w:after="60"/>
        <w:jc w:val="center"/>
      </w:pPr>
      <w:r>
        <w:rPr>
          <w:rFonts w:ascii="Calibri" w:hAnsi="Calibri"/>
          <w:caps/>
          <w:color w:val="555555"/>
          <w:sz w:val="15"/>
        </w:rPr>
        <w:t xml:space="preserve">PREPARED BY   </w:t>
      </w:r>
      <w:r>
        <w:rPr>
          <w:rFonts w:ascii="Times New Roman" w:hAnsi="Times New Roman"/>
          <w:b/>
          <w:sz w:val="24"/>
        </w:rPr>
        <w:t>Tony Morelli, PhD</w:t>
      </w:r>
    </w:p>
    <w:p>
      <w:pPr>
        <w:spacing w:after="60"/>
        <w:jc w:val="center"/>
      </w:pPr>
      <w:r>
        <w:rPr>
          <w:rFonts w:ascii="Times New Roman" w:hAnsi="Times New Roman"/>
          <w:b/>
          <w:sz w:val="24"/>
        </w:rPr>
        <w:t>Institute for Emerging Gaming Markets  ·  Charleston, SC</w:t>
      </w:r>
    </w:p>
    <w:p>
      <w:pPr>
        <w:spacing w:after="60"/>
        <w:jc w:val="center"/>
      </w:pPr>
      <w:r>
        <w:rPr>
          <w:rFonts w:ascii="Calibri" w:hAnsi="Calibri"/>
          <w:caps/>
          <w:color w:val="555555"/>
          <w:sz w:val="15"/>
        </w:rPr>
        <w:t xml:space="preserve">ISSUED   </w:t>
      </w:r>
      <w:r>
        <w:rPr>
          <w:rFonts w:ascii="Times New Roman" w:hAnsi="Times New Roman"/>
          <w:b w:val="0"/>
          <w:sz w:val="24"/>
        </w:rPr>
        <w:t>August 2026</w:t>
      </w:r>
    </w:p>
    <w:p>
      <w:pPr>
        <w:spacing w:after="60"/>
        <w:jc w:val="center"/>
      </w:pPr>
      <w:r>
        <w:rPr>
          <w:rFonts w:ascii="Calibri" w:hAnsi="Calibri"/>
          <w:caps/>
          <w:color w:val="555555"/>
          <w:sz w:val="15"/>
        </w:rPr>
        <w:t xml:space="preserve">DESIGNATION   </w:t>
      </w:r>
      <w:r>
        <w:rPr>
          <w:rFonts w:ascii="Times New Roman" w:hAnsi="Times New Roman"/>
          <w:b w:val="0"/>
          <w:sz w:val="24"/>
        </w:rPr>
        <w:t>SBCGS-T</w:t>
      </w:r>
    </w:p>
    <w:p>
      <w:pPr>
        <w:spacing w:after="60"/>
        <w:jc w:val="center"/>
      </w:pPr>
      <w:r>
        <w:rPr>
          <w:rFonts w:ascii="Calibri" w:hAnsi="Calibri"/>
          <w:caps/>
          <w:color w:val="555555"/>
          <w:sz w:val="15"/>
        </w:rPr>
        <w:t xml:space="preserve">SUPERSEDES   </w:t>
      </w:r>
      <w:r>
        <w:rPr>
          <w:rFonts w:ascii="Times New Roman" w:hAnsi="Times New Roman"/>
          <w:b w:val="0"/>
          <w:sz w:val="24"/>
        </w:rPr>
        <w:t>v1.2</w:t>
      </w:r>
    </w:p>
    <w:p>
      <w:pPr>
        <w:spacing w:before="520"/>
        <w:pBdr>
          <w:top w:val="single" w:sz="6" w:space="6" w:color="8A8A8A"/>
        </w:pBdr>
      </w:pPr>
    </w:p>
    <w:p>
      <w:pPr>
        <w:spacing w:before="200"/>
        <w:jc w:val="center"/>
      </w:pPr>
      <w:r>
        <w:rPr>
          <w:rFonts w:ascii="Calibri" w:hAnsi="Calibri"/>
          <w:b/>
          <w:color w:val="8C3D1C"/>
          <w:sz w:val="18"/>
        </w:rPr>
        <w:t>STATUS:  Draft. Not adopted by any regulatory authority.</w:t>
      </w:r>
    </w:p>
    <w:p>
      <w:r>
        <w:br w:type="page"/>
      </w:r>
    </w:p>
    <w:p>
      <w:pPr>
        <w:spacing w:after="200"/>
        <w:pBdr>
          <w:bottom w:val="single" w:sz="6" w:space="6" w:color="8A8A8A"/>
        </w:pBdr>
      </w:pPr>
      <w:r>
        <w:rPr>
          <w:rFonts w:ascii="Calibri" w:hAnsi="Calibri"/>
          <w:b/>
          <w:sz w:val="22"/>
        </w:rPr>
        <w:t>CONTENTS</w:t>
      </w:r>
    </w:p>
    <w:p>
      <w:r>
        <w:fldChar w:fldCharType="begin"/>
        <w:instrText xml:space="preserve">TOC \o "1-2" \h \z \u</w:instrText>
        <w:fldChar w:fldCharType="separate"/>
        <w:t> </w:t>
        <w:fldChar w:fldCharType="end"/>
      </w:r>
    </w:p>
    <w:p>
      <w:r>
        <w:rPr>
          <w:i/>
          <w:color w:val="555555"/>
          <w:sz w:val="17"/>
        </w:rPr>
        <w:t>If the contents above appear blank, select the field and press F9 to build it.</w:t>
      </w:r>
    </w:p>
    <w:p>
      <w:r>
        <w:br w:type="page"/>
      </w:r>
    </w:p>
    <w:p>
      <w:pPr>
        <w:pStyle w:val="Heading1"/>
        <w:pBdr>
          <w:bottom w:val="single" w:sz="8" w:space="6" w:color="143C46"/>
        </w:pBdr>
      </w:pPr>
      <w:r>
        <w:rPr>
          <w:rFonts w:ascii="Times New Roman" w:hAnsi="Times New Roman"/>
          <w:b/>
          <w:color w:val="000000"/>
          <w:sz w:val="26"/>
        </w:rPr>
        <w:t>Prefatory Note</w:t>
      </w:r>
    </w:p>
    <w:p>
      <w:pPr>
        <w:jc w:val="both"/>
      </w:pPr>
      <w:r>
        <w:rPr>
          <w:rFonts w:ascii="Times New Roman" w:hAnsi="Times New Roman"/>
          <w:sz w:val="22"/>
        </w:rPr>
        <w:t>This is the technical standard in the SBCGS family. It states what a covered device and the system supporting it must do, in terms a testing laboratory can certify by executing test cases against a prototype and by examining source code and logs.</w:t>
      </w:r>
    </w:p>
    <w:p>
      <w:pPr>
        <w:jc w:val="both"/>
      </w:pPr>
      <w:r>
        <w:rPr>
          <w:rFonts w:ascii="Times New Roman" w:hAnsi="Times New Roman"/>
          <w:sz w:val="22"/>
        </w:rPr>
        <w:t>The register differs from SBCGS-M. SBCGS-M states what a person must do, verifiable by an assessor examining records and procedures. SBCGS-T states what a system must do, verifiable by a laboratory. Compare the same subject in each layer:</w:t>
      </w:r>
    </w:p>
    <w:p>
      <w:pPr>
        <w:jc w:val="both"/>
      </w:pPr>
      <w:r>
        <w:rPr>
          <w:rFonts w:ascii="Times New Roman" w:hAnsi="Times New Roman"/>
          <w:b/>
          <w:sz w:val="22"/>
        </w:rPr>
        <w:t>SBCGS-M § 304(c)(1), as drafted.</w:t>
      </w:r>
      <w:r>
        <w:rPr>
          <w:rFonts w:ascii="Times New Roman" w:hAnsi="Times New Roman"/>
          <w:sz w:val="22"/>
        </w:rPr>
        <w:t xml:space="preserve"> A covered operator offering a skill-represented product shall disclose the return at optimal skill and the return at absent skill, each expressed as a percentage of the amount committed and stated to one decimal place, presented together and with equal prominence.</w:t>
      </w:r>
    </w:p>
    <w:p>
      <w:pPr>
        <w:jc w:val="both"/>
      </w:pPr>
      <w:r>
        <w:rPr>
          <w:rFonts w:ascii="Times New Roman" w:hAnsi="Times New Roman"/>
          <w:b/>
          <w:sz w:val="22"/>
        </w:rPr>
        <w:t>SBCGS-T § 823, as drafted.</w:t>
      </w:r>
      <w:r>
        <w:rPr>
          <w:rFonts w:ascii="Times New Roman" w:hAnsi="Times New Roman"/>
          <w:sz w:val="22"/>
        </w:rPr>
        <w:t xml:space="preserve"> The device shall display both figures on the primary display, reachable by a single input from the state in which consideration may be committed, in type not smaller than that used for the award schedule, and shall not display either figure without the other. </w:t>
      </w:r>
      <w:r>
        <w:rPr>
          <w:rFonts w:ascii="Times New Roman" w:hAnsi="Times New Roman"/>
          <w:i/>
          <w:sz w:val="22"/>
        </w:rPr>
        <w:t>Test: from the idle state, actuate the control identified in the rules of play; confirm both figures appear in a single view; confirm the type size; attempt to configure the device to suppress one figure and confirm the configuration is rejected.</w:t>
      </w:r>
    </w:p>
    <w:p>
      <w:pPr>
        <w:jc w:val="both"/>
      </w:pPr>
      <w:r>
        <w:rPr>
          <w:rFonts w:ascii="Times New Roman" w:hAnsi="Times New Roman"/>
          <w:b/>
          <w:sz w:val="22"/>
        </w:rPr>
        <w:t>Part 810 is the reason this document exists.</w:t>
      </w:r>
      <w:r>
        <w:rPr>
          <w:rFonts w:ascii="Times New Roman" w:hAnsi="Times New Roman"/>
          <w:sz w:val="22"/>
        </w:rPr>
        <w:t xml:space="preserve"> Everything else in it is a competent restatement of requirements that appear, in some form, in 25 C.F.R. part 547, in Ohio's Appendix A to rule 3772-50-24, in Minnesota Rules 7864.0235, or in GLI-11. Part 810 has no counterpart. It takes the three measures defined in SBCGS-C § 106 and states how a laboratory determines each of them, what the device must record so that the third can be determined at all, and what a design may not do to defeat them.</w:t>
      </w:r>
    </w:p>
    <w:p>
      <w:pPr>
        <w:jc w:val="both"/>
      </w:pPr>
      <w:r>
        <w:rPr>
          <w:rFonts w:ascii="Times New Roman" w:hAnsi="Times New Roman"/>
          <w:sz w:val="22"/>
        </w:rPr>
        <w:t>The three measures are worth restating plainly, because the entire category turns on them:</w:t>
      </w:r>
    </w:p>
    <w:p>
      <w:pPr>
        <w:spacing w:after="120"/>
        <w:ind w:left="504" w:hanging="504"/>
      </w:pPr>
      <w:r>
        <w:rPr>
          <w:rFonts w:ascii="Times New Roman" w:hAnsi="Times New Roman"/>
          <w:b/>
          <w:sz w:val="22"/>
        </w:rPr>
        <w:t xml:space="preserve">1.   </w:t>
      </w:r>
      <w:r>
        <w:rPr>
          <w:rFonts w:ascii="Times New Roman" w:hAnsi="Times New Roman"/>
          <w:b/>
          <w:sz w:val="22"/>
        </w:rPr>
        <w:t>How much can the skill element move the return.</w:t>
      </w:r>
      <w:r>
        <w:rPr>
          <w:rFonts w:ascii="Times New Roman" w:hAnsi="Times New Roman"/>
          <w:sz w:val="22"/>
        </w:rPr>
        <w:t xml:space="preserve"> Nevada sets a floor on theoretical payout and requires a device to say that skill affects the outcome. GLI-11 acknowledges that the method of play moves the return. Neither requires either end of the range to be computed. Sections 812 and 813 state how each end is determined and § 814 states the difference.</w:t>
      </w:r>
    </w:p>
    <w:p>
      <w:pPr>
        <w:spacing w:after="120"/>
        <w:ind w:left="504" w:hanging="504"/>
      </w:pPr>
      <w:r>
        <w:rPr>
          <w:rFonts w:ascii="Times New Roman" w:hAnsi="Times New Roman"/>
          <w:b/>
          <w:sz w:val="22"/>
        </w:rPr>
        <w:t xml:space="preserve">2.   </w:t>
      </w:r>
      <w:r>
        <w:rPr>
          <w:rFonts w:ascii="Times New Roman" w:hAnsi="Times New Roman"/>
          <w:b/>
          <w:sz w:val="22"/>
        </w:rPr>
        <w:t>Can an ordinary player find and use it.</w:t>
      </w:r>
      <w:r>
        <w:rPr>
          <w:rFonts w:ascii="Times New Roman" w:hAnsi="Times New Roman"/>
          <w:sz w:val="22"/>
        </w:rPr>
        <w:t xml:space="preserve"> Ohio disqualifies a device where success depends on a skill "that no reasonable player could exercise," and leaves the phrase to a tribunal. Section 815 states it as five conditions, each of which a laboratory can observe.</w:t>
      </w:r>
    </w:p>
    <w:p>
      <w:pPr>
        <w:spacing w:after="120"/>
        <w:ind w:left="504" w:hanging="504"/>
      </w:pPr>
      <w:r>
        <w:rPr>
          <w:rFonts w:ascii="Times New Roman" w:hAnsi="Times New Roman"/>
          <w:b/>
          <w:sz w:val="22"/>
        </w:rPr>
        <w:t xml:space="preserve">3.   </w:t>
      </w:r>
      <w:r>
        <w:rPr>
          <w:rFonts w:ascii="Times New Roman" w:hAnsi="Times New Roman"/>
          <w:b/>
          <w:sz w:val="22"/>
        </w:rPr>
        <w:t>Do players actually use it.</w:t>
      </w:r>
      <w:r>
        <w:rPr>
          <w:rFonts w:ascii="Times New Roman" w:hAnsi="Times New Roman"/>
          <w:sz w:val="22"/>
        </w:rPr>
        <w:t xml:space="preserve"> Nobody asks. The answer is not obtainable in a laboratory, because it is a fact about players and not about the device. Section 816 therefore requires the device to record it, in a form the monitoring system carries, so that the question becomes answerable in the field. This is the least expensive requirement in the family and the one with the largest effect on what anybody can honestly claim about this category.</w:t>
      </w:r>
    </w:p>
    <w:p>
      <w:pPr>
        <w:jc w:val="both"/>
      </w:pPr>
      <w:r>
        <w:rPr>
          <w:rFonts w:ascii="Times New Roman" w:hAnsi="Times New Roman"/>
          <w:sz w:val="22"/>
        </w:rPr>
        <w:t>This standard does not state whether a device is lawful, and does not classify a device as a skill game. Classification is SBCGS-C. GLI-11 makes the same disclaimer and it is correct.</w:t>
      </w:r>
    </w:p>
    <w:p>
      <w:pPr>
        <w:spacing w:after="40"/>
      </w:pPr>
      <w:r>
        <w:rPr>
          <w:rFonts w:ascii="Calibri" w:hAnsi="Calibri"/>
          <w:b/>
          <w:color w:val="143C46"/>
          <w:sz w:val="18"/>
        </w:rPr>
        <w:t>PART 800</w:t>
      </w:r>
    </w:p>
    <w:p>
      <w:pPr>
        <w:pStyle w:val="Heading1"/>
        <w:spacing w:before="0"/>
        <w:pBdr>
          <w:bottom w:val="single" w:sz="8" w:space="6" w:color="143C46"/>
        </w:pBdr>
      </w:pPr>
      <w:r>
        <w:rPr>
          <w:rFonts w:ascii="Times New Roman" w:hAnsi="Times New Roman"/>
          <w:b/>
          <w:color w:val="000000"/>
          <w:sz w:val="30"/>
        </w:rPr>
        <w:t>General Requirements</w:t>
      </w:r>
    </w:p>
    <w:p>
      <w:pPr>
        <w:pStyle w:val="Heading2"/>
      </w:pPr>
      <w:r>
        <w:rPr>
          <w:rFonts w:ascii="Times New Roman" w:hAnsi="Times New Roman"/>
          <w:b/>
          <w:color w:val="143C46"/>
          <w:sz w:val="23"/>
        </w:rPr>
        <w:t xml:space="preserve">§ 801.  </w:t>
      </w:r>
      <w:r>
        <w:rPr>
          <w:rFonts w:ascii="Times New Roman" w:hAnsi="Times New Roman"/>
          <w:b/>
          <w:color w:val="000000"/>
          <w:sz w:val="23"/>
        </w:rPr>
        <w:t>Purpose and application</w:t>
      </w:r>
    </w:p>
    <w:p>
      <w:pPr>
        <w:ind w:left="432" w:hanging="432"/>
        <w:jc w:val="both"/>
      </w:pPr>
      <w:r>
        <w:rPr>
          <w:rFonts w:ascii="Times New Roman" w:hAnsi="Times New Roman"/>
          <w:b/>
          <w:sz w:val="22"/>
        </w:rPr>
        <w:t xml:space="preserve">(a)  </w:t>
      </w:r>
      <w:r>
        <w:rPr>
          <w:rFonts w:ascii="Times New Roman" w:hAnsi="Times New Roman"/>
          <w:sz w:val="22"/>
        </w:rPr>
        <w:t>This standard states the technical requirements applicable to a covered device and to the system supporting it.</w:t>
      </w:r>
    </w:p>
    <w:p>
      <w:pPr>
        <w:ind w:left="432" w:hanging="432"/>
        <w:jc w:val="both"/>
      </w:pPr>
      <w:r>
        <w:rPr>
          <w:rFonts w:ascii="Times New Roman" w:hAnsi="Times New Roman"/>
          <w:b/>
          <w:sz w:val="22"/>
        </w:rPr>
        <w:t xml:space="preserve">(b)  </w:t>
      </w:r>
      <w:r>
        <w:rPr>
          <w:rFonts w:ascii="Times New Roman" w:hAnsi="Times New Roman"/>
          <w:sz w:val="22"/>
        </w:rPr>
        <w:t>A requirement applies to a covered device as determined under SBCGS-C. A requirement stated for a skill-represented product applies only where a skill representation is made as determined under SBCGS-C § 105.</w:t>
      </w:r>
    </w:p>
    <w:p>
      <w:pPr>
        <w:ind w:left="432" w:hanging="432"/>
        <w:jc w:val="both"/>
      </w:pPr>
      <w:r>
        <w:rPr>
          <w:rFonts w:ascii="Times New Roman" w:hAnsi="Times New Roman"/>
          <w:b/>
          <w:sz w:val="22"/>
        </w:rPr>
        <w:t xml:space="preserve">(c)  </w:t>
      </w:r>
      <w:r>
        <w:rPr>
          <w:rFonts w:ascii="Times New Roman" w:hAnsi="Times New Roman"/>
          <w:sz w:val="22"/>
        </w:rPr>
        <w:t>A requirement in Part 850 applies to the monitoring system and to the covered operator that maintains it.</w:t>
      </w:r>
    </w:p>
    <w:p>
      <w:pPr>
        <w:ind w:left="432" w:hanging="432"/>
        <w:jc w:val="both"/>
      </w:pPr>
      <w:r>
        <w:rPr>
          <w:rFonts w:ascii="Times New Roman" w:hAnsi="Times New Roman"/>
          <w:b/>
          <w:sz w:val="22"/>
        </w:rPr>
        <w:t xml:space="preserve">(d)  </w:t>
      </w:r>
      <w:r>
        <w:rPr>
          <w:rFonts w:ascii="Times New Roman" w:hAnsi="Times New Roman"/>
          <w:sz w:val="22"/>
        </w:rPr>
        <w:t>Where a jurisdiction imposes a stricter technical requirement, the stricter requirement governs. Conformity with this standard is not a substitute for an approval required by applicable law.</w:t>
      </w:r>
    </w:p>
    <w:p>
      <w:pPr>
        <w:pStyle w:val="Heading2"/>
      </w:pPr>
      <w:r>
        <w:rPr>
          <w:rFonts w:ascii="Times New Roman" w:hAnsi="Times New Roman"/>
          <w:b/>
          <w:color w:val="143C46"/>
          <w:sz w:val="23"/>
        </w:rPr>
        <w:t xml:space="preserve">§ 802.  </w:t>
      </w:r>
      <w:r>
        <w:rPr>
          <w:rFonts w:ascii="Times New Roman" w:hAnsi="Times New Roman"/>
          <w:b/>
          <w:color w:val="000000"/>
          <w:sz w:val="23"/>
        </w:rPr>
        <w:t>Definitions</w:t>
      </w:r>
    </w:p>
    <w:p>
      <w:pPr>
        <w:jc w:val="both"/>
      </w:pPr>
      <w:r>
        <w:rPr>
          <w:rFonts w:ascii="Times New Roman" w:hAnsi="Times New Roman"/>
          <w:sz w:val="22"/>
        </w:rPr>
        <w:t>Terms defined in SBCGS-C and SBCGS-M have the same meaning here. In addition:</w:t>
      </w:r>
    </w:p>
    <w:p>
      <w:pPr>
        <w:jc w:val="both"/>
      </w:pPr>
      <w:r>
        <w:rPr>
          <w:rFonts w:ascii="Times New Roman" w:hAnsi="Times New Roman"/>
          <w:b/>
          <w:sz w:val="22"/>
        </w:rPr>
        <w:t>Configuration</w:t>
      </w:r>
      <w:r>
        <w:rPr>
          <w:rFonts w:ascii="Times New Roman" w:hAnsi="Times New Roman"/>
          <w:sz w:val="22"/>
        </w:rPr>
        <w:t xml:space="preserve"> means the set of parameter values in effect on a covered device that determine the cost of a play, the award schedule, the theoretical return, and the behavior of any skill element.</w:t>
      </w:r>
    </w:p>
    <w:p>
      <w:pPr>
        <w:jc w:val="both"/>
      </w:pPr>
      <w:r>
        <w:rPr>
          <w:rFonts w:ascii="Times New Roman" w:hAnsi="Times New Roman"/>
          <w:b/>
          <w:sz w:val="22"/>
        </w:rPr>
        <w:t>Critical memory</w:t>
      </w:r>
      <w:r>
        <w:rPr>
          <w:rFonts w:ascii="Times New Roman" w:hAnsi="Times New Roman"/>
          <w:sz w:val="22"/>
        </w:rPr>
        <w:t xml:space="preserve"> means memory storing information whose loss or corruption would affect accounting, award liability, player balance, exclusion status, limit state, or the reconstruction of a play.</w:t>
      </w:r>
    </w:p>
    <w:p>
      <w:pPr>
        <w:jc w:val="both"/>
      </w:pPr>
      <w:r>
        <w:rPr>
          <w:rFonts w:ascii="Times New Roman" w:hAnsi="Times New Roman"/>
          <w:b/>
          <w:sz w:val="22"/>
        </w:rPr>
        <w:t>Idle state</w:t>
      </w:r>
      <w:r>
        <w:rPr>
          <w:rFonts w:ascii="Times New Roman" w:hAnsi="Times New Roman"/>
          <w:sz w:val="22"/>
        </w:rPr>
        <w:t xml:space="preserve"> means the state of a covered device in which no play is in progress and consideration may be committed.</w:t>
      </w:r>
    </w:p>
    <w:p>
      <w:pPr>
        <w:jc w:val="both"/>
      </w:pPr>
      <w:r>
        <w:rPr>
          <w:rFonts w:ascii="Times New Roman" w:hAnsi="Times New Roman"/>
          <w:b/>
          <w:sz w:val="22"/>
        </w:rPr>
        <w:t>Null strategy</w:t>
      </w:r>
      <w:r>
        <w:rPr>
          <w:rFonts w:ascii="Times New Roman" w:hAnsi="Times New Roman"/>
          <w:sz w:val="22"/>
        </w:rPr>
        <w:t xml:space="preserve"> means the method of play defined in § 813(b).</w:t>
      </w:r>
    </w:p>
    <w:p>
      <w:pPr>
        <w:jc w:val="both"/>
      </w:pPr>
      <w:r>
        <w:rPr>
          <w:rFonts w:ascii="Times New Roman" w:hAnsi="Times New Roman"/>
          <w:b/>
          <w:sz w:val="22"/>
        </w:rPr>
        <w:t>Optimal strategy</w:t>
      </w:r>
      <w:r>
        <w:rPr>
          <w:rFonts w:ascii="Times New Roman" w:hAnsi="Times New Roman"/>
          <w:sz w:val="22"/>
        </w:rPr>
        <w:t xml:space="preserve"> means the method of play defined in § 812(b).</w:t>
      </w:r>
    </w:p>
    <w:p>
      <w:pPr>
        <w:jc w:val="both"/>
      </w:pPr>
      <w:r>
        <w:rPr>
          <w:rFonts w:ascii="Times New Roman" w:hAnsi="Times New Roman"/>
          <w:b/>
          <w:sz w:val="22"/>
        </w:rPr>
        <w:t>Primary display</w:t>
      </w:r>
      <w:r>
        <w:rPr>
          <w:rFonts w:ascii="Times New Roman" w:hAnsi="Times New Roman"/>
          <w:sz w:val="22"/>
        </w:rPr>
        <w:t xml:space="preserve"> means the display on which the outcome of a play is presented to the player.</w:t>
      </w:r>
    </w:p>
    <w:p>
      <w:pPr>
        <w:jc w:val="both"/>
      </w:pPr>
      <w:r>
        <w:rPr>
          <w:rFonts w:ascii="Times New Roman" w:hAnsi="Times New Roman"/>
          <w:b/>
          <w:sz w:val="22"/>
        </w:rPr>
        <w:t>Prototype</w:t>
      </w:r>
      <w:r>
        <w:rPr>
          <w:rFonts w:ascii="Times New Roman" w:hAnsi="Times New Roman"/>
          <w:sz w:val="22"/>
        </w:rPr>
        <w:t xml:space="preserve"> means the covered device, in the hardware and software identification submitted, against which a laboratory performs testing under Part 880.</w:t>
      </w:r>
    </w:p>
    <w:p>
      <w:pPr>
        <w:jc w:val="both"/>
      </w:pPr>
      <w:r>
        <w:rPr>
          <w:rFonts w:ascii="Times New Roman" w:hAnsi="Times New Roman"/>
          <w:b/>
          <w:sz w:val="22"/>
        </w:rPr>
        <w:t>Skill event</w:t>
      </w:r>
      <w:r>
        <w:rPr>
          <w:rFonts w:ascii="Times New Roman" w:hAnsi="Times New Roman"/>
          <w:sz w:val="22"/>
        </w:rPr>
        <w:t xml:space="preserve"> means an occurrence in which a skill element becomes available to a player on a play.</w:t>
      </w:r>
    </w:p>
    <w:p>
      <w:pPr>
        <w:jc w:val="both"/>
      </w:pPr>
      <w:r>
        <w:rPr>
          <w:rFonts w:ascii="Times New Roman" w:hAnsi="Times New Roman"/>
          <w:b/>
          <w:sz w:val="22"/>
        </w:rPr>
        <w:t>Test laboratory</w:t>
      </w:r>
      <w:r>
        <w:rPr>
          <w:rFonts w:ascii="Times New Roman" w:hAnsi="Times New Roman"/>
          <w:sz w:val="22"/>
        </w:rPr>
        <w:t xml:space="preserve"> means a laboratory meeting § 881.</w:t>
      </w:r>
    </w:p>
    <w:p>
      <w:pPr>
        <w:pStyle w:val="Heading2"/>
      </w:pPr>
      <w:r>
        <w:rPr>
          <w:rFonts w:ascii="Times New Roman" w:hAnsi="Times New Roman"/>
          <w:b/>
          <w:color w:val="143C46"/>
          <w:sz w:val="23"/>
        </w:rPr>
        <w:t xml:space="preserve">§ 803.  </w:t>
      </w:r>
      <w:r>
        <w:rPr>
          <w:rFonts w:ascii="Times New Roman" w:hAnsi="Times New Roman"/>
          <w:b/>
          <w:color w:val="000000"/>
          <w:sz w:val="23"/>
        </w:rPr>
        <w:t>Rules of general application</w:t>
      </w:r>
    </w:p>
    <w:p>
      <w:pPr>
        <w:ind w:left="432" w:hanging="432"/>
        <w:jc w:val="both"/>
      </w:pPr>
      <w:r>
        <w:rPr>
          <w:rFonts w:ascii="Times New Roman" w:hAnsi="Times New Roman"/>
          <w:b/>
          <w:sz w:val="22"/>
        </w:rPr>
        <w:t xml:space="preserve">(a)  </w:t>
      </w:r>
      <w:r>
        <w:rPr>
          <w:rFonts w:ascii="Times New Roman" w:hAnsi="Times New Roman"/>
          <w:sz w:val="22"/>
        </w:rPr>
        <w:t>A covered device shall operate only software that a test laboratory has examined and that a report under § 883 identifies, and shall not load or execute software from a source that the device cannot authenticate.</w:t>
      </w:r>
    </w:p>
    <w:p>
      <w:pPr>
        <w:ind w:left="432" w:hanging="432"/>
        <w:jc w:val="both"/>
      </w:pPr>
      <w:r>
        <w:rPr>
          <w:rFonts w:ascii="Times New Roman" w:hAnsi="Times New Roman"/>
          <w:b/>
          <w:sz w:val="22"/>
        </w:rPr>
        <w:t xml:space="preserve">(b)  </w:t>
      </w:r>
      <w:r>
        <w:rPr>
          <w:rFonts w:ascii="Times New Roman" w:hAnsi="Times New Roman"/>
          <w:sz w:val="22"/>
        </w:rPr>
        <w:t>A covered device shall function in accordance with its rules of play, its award schedule, and the configuration recorded for it, and shall not present to a player a rule, an award schedule, or a return that differs from the one in effect.</w:t>
      </w:r>
    </w:p>
    <w:p>
      <w:pPr>
        <w:ind w:left="432" w:hanging="432"/>
        <w:jc w:val="both"/>
      </w:pPr>
      <w:r>
        <w:rPr>
          <w:rFonts w:ascii="Times New Roman" w:hAnsi="Times New Roman"/>
          <w:b/>
          <w:sz w:val="22"/>
        </w:rPr>
        <w:t xml:space="preserve">(c)  </w:t>
      </w:r>
      <w:r>
        <w:rPr>
          <w:rFonts w:ascii="Times New Roman" w:hAnsi="Times New Roman"/>
          <w:sz w:val="22"/>
        </w:rPr>
        <w:t>A covered device shall not contain a function, however invoked, that alters outcome, award value, the availability of an award, or the behavior of a skill element, other than a function described in the rules of play or in the report under § 883.</w:t>
      </w:r>
    </w:p>
    <w:p>
      <w:pPr>
        <w:ind w:left="432" w:hanging="432"/>
        <w:jc w:val="both"/>
      </w:pPr>
      <w:r>
        <w:rPr>
          <w:rFonts w:ascii="Times New Roman" w:hAnsi="Times New Roman"/>
          <w:b/>
          <w:sz w:val="22"/>
        </w:rPr>
        <w:t xml:space="preserve">(d)  </w:t>
      </w:r>
      <w:r>
        <w:rPr>
          <w:rFonts w:ascii="Times New Roman" w:hAnsi="Times New Roman"/>
          <w:sz w:val="22"/>
        </w:rPr>
        <w:t>A covered device shall be identified by an irremovable plate placed where it is visible to a player, stating the manufacturer, the model, and the serial number.</w:t>
      </w:r>
    </w:p>
    <w:p>
      <w:pPr>
        <w:spacing w:before="240"/>
        <w:pBdr>
          <w:top w:val="single" w:sz="4" w:space="6" w:color="8A8A8A"/>
        </w:pBdr>
      </w:pPr>
      <w:r>
        <w:rPr>
          <w:rFonts w:ascii="Times New Roman" w:hAnsi="Times New Roman"/>
          <w:i/>
          <w:color w:val="555555"/>
          <w:sz w:val="17"/>
        </w:rPr>
        <w:t>Basis: Pa. H.B. 2557, § 5302(b)(2) (2026); 25 C.F.R. § 547.7.</w:t>
      </w:r>
    </w:p>
    <w:p>
      <w:pPr>
        <w:ind w:left="432" w:hanging="432"/>
        <w:jc w:val="both"/>
      </w:pPr>
      <w:r>
        <w:rPr>
          <w:rFonts w:ascii="Times New Roman" w:hAnsi="Times New Roman"/>
          <w:b/>
          <w:sz w:val="22"/>
        </w:rPr>
        <w:t xml:space="preserve">(e)  </w:t>
      </w:r>
      <w:r>
        <w:rPr>
          <w:rFonts w:ascii="Times New Roman" w:hAnsi="Times New Roman"/>
          <w:sz w:val="22"/>
        </w:rPr>
        <w:t>A covered device shall make its software identification available for display without opening the cabinet, and shall support an independent verification of its program storage from an external source.</w:t>
      </w:r>
    </w:p>
    <w:p>
      <w:pPr>
        <w:spacing w:before="240"/>
        <w:pBdr>
          <w:top w:val="single" w:sz="4" w:space="6" w:color="8A8A8A"/>
        </w:pBdr>
      </w:pPr>
      <w:r>
        <w:rPr>
          <w:rFonts w:ascii="Times New Roman" w:hAnsi="Times New Roman"/>
          <w:i/>
          <w:color w:val="555555"/>
          <w:sz w:val="17"/>
        </w:rPr>
        <w:t>Basis: Ohio Admin. Code 3772-50-24 app. A, Software Verification; 25 C.F.R. § 547.8.</w:t>
      </w:r>
    </w:p>
    <w:p>
      <w:pPr>
        <w:pStyle w:val="Heading2"/>
      </w:pPr>
      <w:r>
        <w:rPr>
          <w:rFonts w:ascii="Times New Roman" w:hAnsi="Times New Roman"/>
          <w:b/>
          <w:color w:val="143C46"/>
          <w:sz w:val="23"/>
        </w:rPr>
        <w:t xml:space="preserve">§ 804.  </w:t>
      </w:r>
      <w:r>
        <w:rPr>
          <w:rFonts w:ascii="Times New Roman" w:hAnsi="Times New Roman"/>
          <w:b/>
          <w:color w:val="000000"/>
          <w:sz w:val="23"/>
        </w:rPr>
        <w:t>Fairness and non-adaptivity</w:t>
      </w:r>
    </w:p>
    <w:p>
      <w:pPr>
        <w:ind w:left="432" w:hanging="432"/>
        <w:jc w:val="both"/>
      </w:pPr>
      <w:r>
        <w:rPr>
          <w:rFonts w:ascii="Times New Roman" w:hAnsi="Times New Roman"/>
          <w:b/>
          <w:sz w:val="22"/>
        </w:rPr>
        <w:t xml:space="preserve">(a)  </w:t>
      </w:r>
      <w:r>
        <w:rPr>
          <w:rFonts w:ascii="Times New Roman" w:hAnsi="Times New Roman"/>
          <w:sz w:val="22"/>
        </w:rPr>
        <w:t>A covered device shall apply the same rules, the same award schedule, and the same difficulty to every player in the same configuration.</w:t>
      </w:r>
    </w:p>
    <w:p>
      <w:pPr>
        <w:ind w:left="432" w:hanging="432"/>
        <w:jc w:val="both"/>
      </w:pPr>
      <w:r>
        <w:rPr>
          <w:rFonts w:ascii="Times New Roman" w:hAnsi="Times New Roman"/>
          <w:b/>
          <w:sz w:val="22"/>
        </w:rPr>
        <w:t xml:space="preserve">(b)  </w:t>
      </w:r>
      <w:r>
        <w:rPr>
          <w:rFonts w:ascii="Times New Roman" w:hAnsi="Times New Roman"/>
          <w:sz w:val="22"/>
        </w:rPr>
        <w:t>A covered device shall not vary, by reference to the identity of a player, the player's prior play, the player's demonstrated proficiency, the device's prior outcomes, or the revenue the device has generated:</w:t>
      </w:r>
    </w:p>
    <w:p>
      <w:pPr>
        <w:ind w:left="864" w:hanging="432"/>
        <w:jc w:val="both"/>
      </w:pPr>
      <w:r>
        <w:rPr>
          <w:rFonts w:ascii="Times New Roman" w:hAnsi="Times New Roman"/>
          <w:b/>
          <w:sz w:val="22"/>
        </w:rPr>
        <w:t xml:space="preserve">(1)  </w:t>
      </w:r>
      <w:r>
        <w:rPr>
          <w:rFonts w:ascii="Times New Roman" w:hAnsi="Times New Roman"/>
          <w:sz w:val="22"/>
        </w:rPr>
        <w:t>the probability of any outcome;</w:t>
      </w:r>
    </w:p>
    <w:p>
      <w:pPr>
        <w:ind w:left="864" w:hanging="432"/>
        <w:jc w:val="both"/>
      </w:pPr>
      <w:r>
        <w:rPr>
          <w:rFonts w:ascii="Times New Roman" w:hAnsi="Times New Roman"/>
          <w:b/>
          <w:sz w:val="22"/>
        </w:rPr>
        <w:t xml:space="preserve">(2)  </w:t>
      </w:r>
      <w:r>
        <w:rPr>
          <w:rFonts w:ascii="Times New Roman" w:hAnsi="Times New Roman"/>
          <w:sz w:val="22"/>
        </w:rPr>
        <w:t>the value of any award;</w:t>
      </w:r>
    </w:p>
    <w:p>
      <w:pPr>
        <w:ind w:left="864" w:hanging="432"/>
        <w:jc w:val="both"/>
      </w:pPr>
      <w:r>
        <w:rPr>
          <w:rFonts w:ascii="Times New Roman" w:hAnsi="Times New Roman"/>
          <w:b/>
          <w:sz w:val="22"/>
        </w:rPr>
        <w:t xml:space="preserve">(3)  </w:t>
      </w:r>
      <w:r>
        <w:rPr>
          <w:rFonts w:ascii="Times New Roman" w:hAnsi="Times New Roman"/>
          <w:sz w:val="22"/>
        </w:rPr>
        <w:t>the availability of any award or of any skill element; or</w:t>
      </w:r>
    </w:p>
    <w:p>
      <w:pPr>
        <w:ind w:left="864" w:hanging="432"/>
        <w:jc w:val="both"/>
      </w:pPr>
      <w:r>
        <w:rPr>
          <w:rFonts w:ascii="Times New Roman" w:hAnsi="Times New Roman"/>
          <w:b/>
          <w:sz w:val="22"/>
        </w:rPr>
        <w:t xml:space="preserve">(4)  </w:t>
      </w:r>
      <w:r>
        <w:rPr>
          <w:rFonts w:ascii="Times New Roman" w:hAnsi="Times New Roman"/>
          <w:sz w:val="22"/>
        </w:rPr>
        <w:t>the difficulty of any skill element.</w:t>
      </w:r>
    </w:p>
    <w:p>
      <w:pPr>
        <w:spacing w:before="240"/>
        <w:pBdr>
          <w:top w:val="single" w:sz="4" w:space="6" w:color="8A8A8A"/>
        </w:pBdr>
      </w:pPr>
      <w:r>
        <w:rPr>
          <w:rFonts w:ascii="Times New Roman" w:hAnsi="Times New Roman"/>
          <w:i/>
          <w:color w:val="555555"/>
          <w:sz w:val="17"/>
        </w:rPr>
        <w:t>Basis: Ohio Rev. Code § 2915.01(UU)(2)(a) and (c); Ohio Admin. Code 3772-50-24 app. A, Game Outcome items 6 and 7; GLI-11 v3.0 § 4.20.6.</w:t>
      </w:r>
    </w:p>
    <w:p>
      <w:pPr>
        <w:ind w:left="432" w:hanging="432"/>
        <w:jc w:val="both"/>
      </w:pPr>
      <w:r>
        <w:rPr>
          <w:rFonts w:ascii="Times New Roman" w:hAnsi="Times New Roman"/>
          <w:b/>
          <w:sz w:val="22"/>
        </w:rPr>
        <w:t xml:space="preserve">(c)  </w:t>
      </w:r>
      <w:r>
        <w:rPr>
          <w:rFonts w:ascii="Times New Roman" w:hAnsi="Times New Roman"/>
          <w:sz w:val="22"/>
        </w:rPr>
        <w:t>Where a configuration is changed, the change shall take effect only in the idle state, shall apply uniformly to every subsequent player, and shall be recorded under § 862.</w:t>
      </w:r>
    </w:p>
    <w:p>
      <w:pPr>
        <w:ind w:left="432" w:hanging="432"/>
        <w:jc w:val="both"/>
      </w:pPr>
      <w:r>
        <w:rPr>
          <w:rFonts w:ascii="Times New Roman" w:hAnsi="Times New Roman"/>
          <w:b/>
          <w:sz w:val="22"/>
        </w:rPr>
        <w:t xml:space="preserve">(d)  </w:t>
      </w:r>
      <w:r>
        <w:rPr>
          <w:rFonts w:ascii="Times New Roman" w:hAnsi="Times New Roman"/>
          <w:sz w:val="22"/>
        </w:rPr>
        <w:t>A covered device shall not present a rule, an award schedule, or a return that has changed since the player committed consideration for the play in progress.</w:t>
      </w:r>
    </w:p>
    <w:p>
      <w:pPr>
        <w:pStyle w:val="Heading2"/>
      </w:pPr>
      <w:r>
        <w:rPr>
          <w:rFonts w:ascii="Times New Roman" w:hAnsi="Times New Roman"/>
          <w:b/>
          <w:color w:val="143C46"/>
          <w:sz w:val="23"/>
        </w:rPr>
        <w:t xml:space="preserve">§ 805.  </w:t>
      </w:r>
      <w:r>
        <w:rPr>
          <w:rFonts w:ascii="Times New Roman" w:hAnsi="Times New Roman"/>
          <w:b/>
          <w:color w:val="000000"/>
          <w:sz w:val="23"/>
        </w:rPr>
        <w:t>Fail-safe behavior</w:t>
      </w:r>
    </w:p>
    <w:p>
      <w:pPr>
        <w:ind w:left="432" w:hanging="432"/>
        <w:jc w:val="both"/>
      </w:pPr>
      <w:r>
        <w:rPr>
          <w:rFonts w:ascii="Times New Roman" w:hAnsi="Times New Roman"/>
          <w:b/>
          <w:sz w:val="22"/>
        </w:rPr>
        <w:t xml:space="preserve">(a)  </w:t>
      </w:r>
      <w:r>
        <w:rPr>
          <w:rFonts w:ascii="Times New Roman" w:hAnsi="Times New Roman"/>
          <w:sz w:val="22"/>
        </w:rPr>
        <w:t>Where a control required by this standard or by SBCGS-M is unavailable, a covered device shall refuse to accept consideration and shall display that play is unavailable. It shall not accept consideration and operate without the control.</w:t>
      </w:r>
    </w:p>
    <w:p>
      <w:pPr>
        <w:ind w:left="432" w:hanging="432"/>
        <w:jc w:val="both"/>
      </w:pPr>
      <w:r>
        <w:rPr>
          <w:rFonts w:ascii="Times New Roman" w:hAnsi="Times New Roman"/>
          <w:b/>
          <w:sz w:val="22"/>
        </w:rPr>
        <w:t xml:space="preserve">(b)  </w:t>
      </w:r>
      <w:r>
        <w:rPr>
          <w:rFonts w:ascii="Times New Roman" w:hAnsi="Times New Roman"/>
          <w:sz w:val="22"/>
        </w:rPr>
        <w:t>Subsection (a) applies at least where:</w:t>
      </w:r>
    </w:p>
    <w:p>
      <w:pPr>
        <w:ind w:left="864" w:hanging="432"/>
        <w:jc w:val="both"/>
      </w:pPr>
      <w:r>
        <w:rPr>
          <w:rFonts w:ascii="Times New Roman" w:hAnsi="Times New Roman"/>
          <w:b/>
          <w:sz w:val="22"/>
        </w:rPr>
        <w:t xml:space="preserve">(1)  </w:t>
      </w:r>
      <w:r>
        <w:rPr>
          <w:rFonts w:ascii="Times New Roman" w:hAnsi="Times New Roman"/>
          <w:sz w:val="22"/>
        </w:rPr>
        <w:t>communication with the monitoring system has been unavailable for the period stated in § 851(d);</w:t>
      </w:r>
    </w:p>
    <w:p>
      <w:pPr>
        <w:ind w:left="864" w:hanging="432"/>
        <w:jc w:val="both"/>
      </w:pPr>
      <w:r>
        <w:rPr>
          <w:rFonts w:ascii="Times New Roman" w:hAnsi="Times New Roman"/>
          <w:b/>
          <w:sz w:val="22"/>
        </w:rPr>
        <w:t xml:space="preserve">(2)  </w:t>
      </w:r>
      <w:r>
        <w:rPr>
          <w:rFonts w:ascii="Times New Roman" w:hAnsi="Times New Roman"/>
          <w:sz w:val="22"/>
        </w:rPr>
        <w:t>the exclusion data required by § 832 cannot be evaluated;</w:t>
      </w:r>
    </w:p>
    <w:p>
      <w:pPr>
        <w:ind w:left="864" w:hanging="432"/>
        <w:jc w:val="both"/>
      </w:pPr>
      <w:r>
        <w:rPr>
          <w:rFonts w:ascii="Times New Roman" w:hAnsi="Times New Roman"/>
          <w:b/>
          <w:sz w:val="22"/>
        </w:rPr>
        <w:t xml:space="preserve">(3)  </w:t>
      </w:r>
      <w:r>
        <w:rPr>
          <w:rFonts w:ascii="Times New Roman" w:hAnsi="Times New Roman"/>
          <w:sz w:val="22"/>
        </w:rPr>
        <w:t>age or identity verification under § 831 cannot be performed;</w:t>
      </w:r>
    </w:p>
    <w:p>
      <w:pPr>
        <w:ind w:left="864" w:hanging="432"/>
        <w:jc w:val="both"/>
      </w:pPr>
      <w:r>
        <w:rPr>
          <w:rFonts w:ascii="Times New Roman" w:hAnsi="Times New Roman"/>
          <w:b/>
          <w:sz w:val="22"/>
        </w:rPr>
        <w:t xml:space="preserve">(4)  </w:t>
      </w:r>
      <w:r>
        <w:rPr>
          <w:rFonts w:ascii="Times New Roman" w:hAnsi="Times New Roman"/>
          <w:sz w:val="22"/>
        </w:rPr>
        <w:t>a meter required by § 841 cannot be written;</w:t>
      </w:r>
    </w:p>
    <w:p>
      <w:pPr>
        <w:ind w:left="864" w:hanging="432"/>
        <w:jc w:val="both"/>
      </w:pPr>
      <w:r>
        <w:rPr>
          <w:rFonts w:ascii="Times New Roman" w:hAnsi="Times New Roman"/>
          <w:b/>
          <w:sz w:val="22"/>
        </w:rPr>
        <w:t xml:space="preserve">(5)  </w:t>
      </w:r>
      <w:r>
        <w:rPr>
          <w:rFonts w:ascii="Times New Roman" w:hAnsi="Times New Roman"/>
          <w:sz w:val="22"/>
        </w:rPr>
        <w:t>critical memory has failed a verification under § 872; or</w:t>
      </w:r>
    </w:p>
    <w:p>
      <w:pPr>
        <w:ind w:left="864" w:hanging="432"/>
        <w:jc w:val="both"/>
      </w:pPr>
      <w:r>
        <w:rPr>
          <w:rFonts w:ascii="Times New Roman" w:hAnsi="Times New Roman"/>
          <w:b/>
          <w:sz w:val="22"/>
        </w:rPr>
        <w:t xml:space="preserve">(6)  </w:t>
      </w:r>
      <w:r>
        <w:rPr>
          <w:rFonts w:ascii="Times New Roman" w:hAnsi="Times New Roman"/>
          <w:sz w:val="22"/>
        </w:rPr>
        <w:t>the device cannot record a play under § 861.</w:t>
      </w:r>
    </w:p>
    <w:p>
      <w:pPr>
        <w:ind w:left="432" w:hanging="432"/>
        <w:jc w:val="both"/>
      </w:pPr>
      <w:r>
        <w:rPr>
          <w:rFonts w:ascii="Times New Roman" w:hAnsi="Times New Roman"/>
          <w:b/>
          <w:sz w:val="22"/>
        </w:rPr>
        <w:t xml:space="preserve">(c)  </w:t>
      </w:r>
      <w:r>
        <w:rPr>
          <w:rFonts w:ascii="Times New Roman" w:hAnsi="Times New Roman"/>
          <w:sz w:val="22"/>
        </w:rPr>
        <w:t>A covered device entering the state described in subsection (a) shall preserve any play in progress and any player balance, shall permit the player to redeem the balance, and shall record the event under § 862.</w:t>
      </w:r>
    </w:p>
    <w:p>
      <w:pPr>
        <w:ind w:left="432" w:hanging="432"/>
        <w:jc w:val="both"/>
      </w:pPr>
      <w:r>
        <w:rPr>
          <w:rFonts w:ascii="Times New Roman" w:hAnsi="Times New Roman"/>
          <w:b/>
          <w:sz w:val="22"/>
        </w:rPr>
        <w:t xml:space="preserve">(d)  </w:t>
      </w:r>
      <w:r>
        <w:rPr>
          <w:rFonts w:ascii="Times New Roman" w:hAnsi="Times New Roman"/>
          <w:sz w:val="22"/>
        </w:rPr>
        <w:t>A covered device shall not resume accepting consideration after an event in subsection (b) until the condition is cleared and the clearance is recorded.</w:t>
      </w:r>
    </w:p>
    <w:p>
      <w:r>
        <w:br w:type="page"/>
      </w:r>
    </w:p>
    <w:p>
      <w:pPr>
        <w:spacing w:after="40"/>
      </w:pPr>
      <w:r>
        <w:rPr>
          <w:rFonts w:ascii="Calibri" w:hAnsi="Calibri"/>
          <w:b/>
          <w:color w:val="143C46"/>
          <w:sz w:val="18"/>
        </w:rPr>
        <w:t>PART 810</w:t>
      </w:r>
    </w:p>
    <w:p>
      <w:pPr>
        <w:pStyle w:val="Heading1"/>
        <w:spacing w:before="0"/>
        <w:pBdr>
          <w:bottom w:val="single" w:sz="8" w:space="6" w:color="143C46"/>
        </w:pBdr>
      </w:pPr>
      <w:r>
        <w:rPr>
          <w:rFonts w:ascii="Times New Roman" w:hAnsi="Times New Roman"/>
          <w:b/>
          <w:color w:val="000000"/>
          <w:sz w:val="30"/>
        </w:rPr>
        <w:t>Skill Measurement and Verification</w:t>
      </w:r>
    </w:p>
    <w:p>
      <w:pPr>
        <w:pStyle w:val="Heading2"/>
      </w:pPr>
      <w:r>
        <w:rPr>
          <w:rFonts w:ascii="Times New Roman" w:hAnsi="Times New Roman"/>
          <w:b/>
          <w:color w:val="143C46"/>
          <w:sz w:val="23"/>
        </w:rPr>
        <w:t xml:space="preserve">§ 811.  </w:t>
      </w:r>
      <w:r>
        <w:rPr>
          <w:rFonts w:ascii="Times New Roman" w:hAnsi="Times New Roman"/>
          <w:b/>
          <w:color w:val="000000"/>
          <w:sz w:val="23"/>
        </w:rPr>
        <w:t>Application and general requirement</w:t>
      </w:r>
    </w:p>
    <w:p>
      <w:pPr>
        <w:ind w:left="432" w:hanging="432"/>
        <w:jc w:val="both"/>
      </w:pPr>
      <w:r>
        <w:rPr>
          <w:rFonts w:ascii="Times New Roman" w:hAnsi="Times New Roman"/>
          <w:b/>
          <w:sz w:val="22"/>
        </w:rPr>
        <w:t xml:space="preserve">(a)  </w:t>
      </w:r>
      <w:r>
        <w:rPr>
          <w:rFonts w:ascii="Times New Roman" w:hAnsi="Times New Roman"/>
          <w:sz w:val="22"/>
        </w:rPr>
        <w:t>This Part applies to a skill-represented product.</w:t>
      </w:r>
    </w:p>
    <w:p>
      <w:pPr>
        <w:ind w:left="432" w:hanging="432"/>
        <w:jc w:val="both"/>
      </w:pPr>
      <w:r>
        <w:rPr>
          <w:rFonts w:ascii="Times New Roman" w:hAnsi="Times New Roman"/>
          <w:b/>
          <w:sz w:val="22"/>
        </w:rPr>
        <w:t xml:space="preserve">(b)  </w:t>
      </w:r>
      <w:r>
        <w:rPr>
          <w:rFonts w:ascii="Times New Roman" w:hAnsi="Times New Roman"/>
          <w:sz w:val="22"/>
        </w:rPr>
        <w:t>A test laboratory shall determine, for each configuration of the product submitted, the return at optimal skill under § 812, the return at absent skill under § 813, the skill influence range under § 814, and each condition of accessibility under § 815, and shall state each in the report under § 883.</w:t>
      </w:r>
    </w:p>
    <w:p>
      <w:pPr>
        <w:ind w:left="432" w:hanging="432"/>
        <w:jc w:val="both"/>
      </w:pPr>
      <w:r>
        <w:rPr>
          <w:rFonts w:ascii="Times New Roman" w:hAnsi="Times New Roman"/>
          <w:b/>
          <w:sz w:val="22"/>
        </w:rPr>
        <w:t xml:space="preserve">(c)  </w:t>
      </w:r>
      <w:r>
        <w:rPr>
          <w:rFonts w:ascii="Times New Roman" w:hAnsi="Times New Roman"/>
          <w:sz w:val="22"/>
        </w:rPr>
        <w:t>A covered device shall instrument each skill event as required by § 816 so that the skill realization rate can be determined in the field.</w:t>
      </w:r>
    </w:p>
    <w:p>
      <w:pPr>
        <w:ind w:left="432" w:hanging="432"/>
        <w:jc w:val="both"/>
      </w:pPr>
      <w:r>
        <w:rPr>
          <w:rFonts w:ascii="Times New Roman" w:hAnsi="Times New Roman"/>
          <w:b/>
          <w:sz w:val="22"/>
        </w:rPr>
        <w:t xml:space="preserve">(d)  </w:t>
      </w:r>
      <w:r>
        <w:rPr>
          <w:rFonts w:ascii="Times New Roman" w:hAnsi="Times New Roman"/>
          <w:sz w:val="22"/>
        </w:rPr>
        <w:t>A determination under this Part is made for each configuration for which the cost of a play, the award schedule, the theoretical return, or the behavior of a skill element differs.</w:t>
      </w:r>
    </w:p>
    <w:p>
      <w:pPr>
        <w:ind w:left="432" w:hanging="432"/>
        <w:jc w:val="both"/>
      </w:pPr>
      <w:r>
        <w:rPr>
          <w:rFonts w:ascii="Times New Roman" w:hAnsi="Times New Roman"/>
          <w:b/>
          <w:sz w:val="22"/>
        </w:rPr>
        <w:t xml:space="preserve">(e)  </w:t>
      </w:r>
      <w:r>
        <w:rPr>
          <w:rFonts w:ascii="Times New Roman" w:hAnsi="Times New Roman"/>
          <w:sz w:val="22"/>
        </w:rPr>
        <w:t>A determination under this Part is not a determination that skill predominates over chance, and shall not be represented as one.</w:t>
      </w:r>
    </w:p>
    <w:p>
      <w:pPr>
        <w:pStyle w:val="Heading2"/>
      </w:pPr>
      <w:r>
        <w:rPr>
          <w:rFonts w:ascii="Times New Roman" w:hAnsi="Times New Roman"/>
          <w:b/>
          <w:color w:val="143C46"/>
          <w:sz w:val="23"/>
        </w:rPr>
        <w:t xml:space="preserve">§ 812.  </w:t>
      </w:r>
      <w:r>
        <w:rPr>
          <w:rFonts w:ascii="Times New Roman" w:hAnsi="Times New Roman"/>
          <w:b/>
          <w:color w:val="000000"/>
          <w:sz w:val="23"/>
        </w:rPr>
        <w:t>Return at optimal skill</w:t>
      </w:r>
    </w:p>
    <w:p>
      <w:pPr>
        <w:ind w:left="432" w:hanging="432"/>
        <w:jc w:val="both"/>
      </w:pPr>
      <w:r>
        <w:rPr>
          <w:rFonts w:ascii="Times New Roman" w:hAnsi="Times New Roman"/>
          <w:b/>
          <w:sz w:val="22"/>
        </w:rPr>
        <w:t xml:space="preserve">(a)  </w:t>
      </w:r>
      <w:r>
        <w:rPr>
          <w:rFonts w:ascii="Times New Roman" w:hAnsi="Times New Roman"/>
          <w:sz w:val="22"/>
        </w:rPr>
        <w:t>The return at optimal skill is the expected value returned to a player as a percentage of the amount committed, computed under the optimal strategy, over the configuration submitted.</w:t>
      </w:r>
    </w:p>
    <w:p>
      <w:pPr>
        <w:ind w:left="432" w:hanging="432"/>
        <w:jc w:val="both"/>
      </w:pPr>
      <w:r>
        <w:rPr>
          <w:rFonts w:ascii="Times New Roman" w:hAnsi="Times New Roman"/>
          <w:b/>
          <w:sz w:val="22"/>
        </w:rPr>
        <w:t xml:space="preserve">(b)  </w:t>
      </w:r>
      <w:r>
        <w:rPr>
          <w:rFonts w:ascii="Times New Roman" w:hAnsi="Times New Roman"/>
          <w:sz w:val="22"/>
        </w:rPr>
        <w:t>The optimal strategy is the method of play that maximizes expected return, in which the player:</w:t>
      </w:r>
    </w:p>
    <w:p>
      <w:pPr>
        <w:ind w:left="864" w:hanging="432"/>
        <w:jc w:val="both"/>
      </w:pPr>
      <w:r>
        <w:rPr>
          <w:rFonts w:ascii="Times New Roman" w:hAnsi="Times New Roman"/>
          <w:b/>
          <w:sz w:val="22"/>
        </w:rPr>
        <w:t xml:space="preserve">(1)  </w:t>
      </w:r>
      <w:r>
        <w:rPr>
          <w:rFonts w:ascii="Times New Roman" w:hAnsi="Times New Roman"/>
          <w:sz w:val="22"/>
        </w:rPr>
        <w:t>engages every skill element on every play on which it becomes available;</w:t>
      </w:r>
    </w:p>
    <w:p>
      <w:pPr>
        <w:ind w:left="864" w:hanging="432"/>
        <w:jc w:val="both"/>
      </w:pPr>
      <w:r>
        <w:rPr>
          <w:rFonts w:ascii="Times New Roman" w:hAnsi="Times New Roman"/>
          <w:b/>
          <w:sz w:val="22"/>
        </w:rPr>
        <w:t xml:space="preserve">(2)  </w:t>
      </w:r>
      <w:r>
        <w:rPr>
          <w:rFonts w:ascii="Times New Roman" w:hAnsi="Times New Roman"/>
          <w:sz w:val="22"/>
        </w:rPr>
        <w:t>completes every skill element without error;</w:t>
      </w:r>
    </w:p>
    <w:p>
      <w:pPr>
        <w:ind w:left="864" w:hanging="432"/>
        <w:jc w:val="both"/>
      </w:pPr>
      <w:r>
        <w:rPr>
          <w:rFonts w:ascii="Times New Roman" w:hAnsi="Times New Roman"/>
          <w:b/>
          <w:sz w:val="22"/>
        </w:rPr>
        <w:t xml:space="preserve">(3)  </w:t>
      </w:r>
      <w:r>
        <w:rPr>
          <w:rFonts w:ascii="Times New Roman" w:hAnsi="Times New Roman"/>
          <w:sz w:val="22"/>
        </w:rPr>
        <w:t>makes every decision the product permits so as to maximize expected return; and</w:t>
      </w:r>
    </w:p>
    <w:p>
      <w:pPr>
        <w:ind w:left="864" w:hanging="432"/>
        <w:jc w:val="both"/>
      </w:pPr>
      <w:r>
        <w:rPr>
          <w:rFonts w:ascii="Times New Roman" w:hAnsi="Times New Roman"/>
          <w:b/>
          <w:sz w:val="22"/>
        </w:rPr>
        <w:t xml:space="preserve">(4)  </w:t>
      </w:r>
      <w:r>
        <w:rPr>
          <w:rFonts w:ascii="Times New Roman" w:hAnsi="Times New Roman"/>
          <w:sz w:val="22"/>
        </w:rPr>
        <w:t>has no information the device does not present to a player.</w:t>
      </w:r>
    </w:p>
    <w:p>
      <w:pPr>
        <w:ind w:left="432" w:hanging="432"/>
        <w:jc w:val="both"/>
      </w:pPr>
      <w:r>
        <w:rPr>
          <w:rFonts w:ascii="Times New Roman" w:hAnsi="Times New Roman"/>
          <w:b/>
          <w:sz w:val="22"/>
        </w:rPr>
        <w:t xml:space="preserve">(c)  </w:t>
      </w:r>
      <w:r>
        <w:rPr>
          <w:rFonts w:ascii="Times New Roman" w:hAnsi="Times New Roman"/>
          <w:sz w:val="22"/>
        </w:rPr>
        <w:t>The determination shall be made analytically where a closed form exists. Where it does not, it shall be made by simulation of not fewer than ten million plays per configuration, and the half width of the ninety five percent confidence interval shall not exceed one tenth of one percentage point. The method, the number of plays, and the interval shall be stated in the report.</w:t>
      </w:r>
    </w:p>
    <w:p>
      <w:pPr>
        <w:ind w:left="432" w:hanging="432"/>
        <w:jc w:val="both"/>
      </w:pPr>
      <w:r>
        <w:rPr>
          <w:rFonts w:ascii="Times New Roman" w:hAnsi="Times New Roman"/>
          <w:b/>
          <w:sz w:val="22"/>
        </w:rPr>
        <w:t xml:space="preserve">(d)  </w:t>
      </w:r>
      <w:r>
        <w:rPr>
          <w:rFonts w:ascii="Times New Roman" w:hAnsi="Times New Roman"/>
          <w:sz w:val="22"/>
        </w:rPr>
        <w:t>Where the product permits a range of amounts to be committed on a play, the determination shall be made for the minimum and for the maximum, and both shall be stated.</w:t>
      </w:r>
    </w:p>
    <w:p>
      <w:pPr>
        <w:spacing w:before="240"/>
        <w:pBdr>
          <w:top w:val="single" w:sz="4" w:space="6" w:color="8A8A8A"/>
        </w:pBdr>
      </w:pPr>
      <w:r>
        <w:rPr>
          <w:rFonts w:ascii="Times New Roman" w:hAnsi="Times New Roman"/>
          <w:i/>
          <w:color w:val="555555"/>
          <w:sz w:val="17"/>
        </w:rPr>
        <w:t>Basis: Nev. Gaming Comm'n Reg. 14.040(1)(a), which requires a minimum theoretical payout of 75 percent for each wager available on a device, read with Reg. 14.010(10) and (14), which define a game of skill and a hybrid game by reference to the outcome over a period of continuous play.</w:t>
      </w:r>
    </w:p>
    <w:p>
      <w:pPr>
        <w:pStyle w:val="Heading2"/>
      </w:pPr>
      <w:r>
        <w:rPr>
          <w:rFonts w:ascii="Times New Roman" w:hAnsi="Times New Roman"/>
          <w:b/>
          <w:color w:val="143C46"/>
          <w:sz w:val="23"/>
        </w:rPr>
        <w:t xml:space="preserve">§ 813.  </w:t>
      </w:r>
      <w:r>
        <w:rPr>
          <w:rFonts w:ascii="Times New Roman" w:hAnsi="Times New Roman"/>
          <w:b/>
          <w:color w:val="000000"/>
          <w:sz w:val="23"/>
        </w:rPr>
        <w:t>Return at absent skill</w:t>
      </w:r>
    </w:p>
    <w:p>
      <w:pPr>
        <w:ind w:left="432" w:hanging="432"/>
        <w:jc w:val="both"/>
      </w:pPr>
      <w:r>
        <w:rPr>
          <w:rFonts w:ascii="Times New Roman" w:hAnsi="Times New Roman"/>
          <w:b/>
          <w:sz w:val="22"/>
        </w:rPr>
        <w:t xml:space="preserve">(a)  </w:t>
      </w:r>
      <w:r>
        <w:rPr>
          <w:rFonts w:ascii="Times New Roman" w:hAnsi="Times New Roman"/>
          <w:sz w:val="22"/>
        </w:rPr>
        <w:t>The return at absent skill is the expected value returned to a player as a percentage of the amount committed, computed under the null strategy, over the same configuration.</w:t>
      </w:r>
    </w:p>
    <w:p>
      <w:pPr>
        <w:ind w:left="432" w:hanging="432"/>
        <w:jc w:val="both"/>
      </w:pPr>
      <w:r>
        <w:rPr>
          <w:rFonts w:ascii="Times New Roman" w:hAnsi="Times New Roman"/>
          <w:b/>
          <w:sz w:val="22"/>
        </w:rPr>
        <w:t xml:space="preserve">(b)  </w:t>
      </w:r>
      <w:r>
        <w:rPr>
          <w:rFonts w:ascii="Times New Roman" w:hAnsi="Times New Roman"/>
          <w:sz w:val="22"/>
        </w:rPr>
        <w:t>The null strategy is the method of play in which the player:</w:t>
      </w:r>
    </w:p>
    <w:p>
      <w:pPr>
        <w:ind w:left="864" w:hanging="432"/>
        <w:jc w:val="both"/>
      </w:pPr>
      <w:r>
        <w:rPr>
          <w:rFonts w:ascii="Times New Roman" w:hAnsi="Times New Roman"/>
          <w:b/>
          <w:sz w:val="22"/>
        </w:rPr>
        <w:t xml:space="preserve">(1)  </w:t>
      </w:r>
      <w:r>
        <w:rPr>
          <w:rFonts w:ascii="Times New Roman" w:hAnsi="Times New Roman"/>
          <w:sz w:val="22"/>
        </w:rPr>
        <w:t>does not engage any skill element on any play;</w:t>
      </w:r>
    </w:p>
    <w:p>
      <w:pPr>
        <w:ind w:left="864" w:hanging="432"/>
        <w:jc w:val="both"/>
      </w:pPr>
      <w:r>
        <w:rPr>
          <w:rFonts w:ascii="Times New Roman" w:hAnsi="Times New Roman"/>
          <w:b/>
          <w:sz w:val="22"/>
        </w:rPr>
        <w:t xml:space="preserve">(2)  </w:t>
      </w:r>
      <w:r>
        <w:rPr>
          <w:rFonts w:ascii="Times New Roman" w:hAnsi="Times New Roman"/>
          <w:sz w:val="22"/>
        </w:rPr>
        <w:t>where the product cannot advance unless the player performs an act, performs the act in the manner requiring the least time and the least information, and where the product advances without an act after a period, does not act;</w:t>
      </w:r>
    </w:p>
    <w:p>
      <w:pPr>
        <w:ind w:left="864" w:hanging="432"/>
        <w:jc w:val="both"/>
      </w:pPr>
      <w:r>
        <w:rPr>
          <w:rFonts w:ascii="Times New Roman" w:hAnsi="Times New Roman"/>
          <w:b/>
          <w:sz w:val="22"/>
        </w:rPr>
        <w:t xml:space="preserve">(3)  </w:t>
      </w:r>
      <w:r>
        <w:rPr>
          <w:rFonts w:ascii="Times New Roman" w:hAnsi="Times New Roman"/>
          <w:sz w:val="22"/>
        </w:rPr>
        <w:t>makes no decision the product permits, and where a decision is required, takes the option presented first or the default; and</w:t>
      </w:r>
    </w:p>
    <w:p>
      <w:pPr>
        <w:ind w:left="864" w:hanging="432"/>
        <w:jc w:val="both"/>
      </w:pPr>
      <w:r>
        <w:rPr>
          <w:rFonts w:ascii="Times New Roman" w:hAnsi="Times New Roman"/>
          <w:b/>
          <w:sz w:val="22"/>
        </w:rPr>
        <w:t xml:space="preserve">(4)  </w:t>
      </w:r>
      <w:r>
        <w:rPr>
          <w:rFonts w:ascii="Times New Roman" w:hAnsi="Times New Roman"/>
          <w:sz w:val="22"/>
        </w:rPr>
        <w:t>commits the same amount on each play as was assumed under § 812.</w:t>
      </w:r>
    </w:p>
    <w:p>
      <w:pPr>
        <w:ind w:left="432" w:hanging="432"/>
        <w:jc w:val="both"/>
      </w:pPr>
      <w:r>
        <w:rPr>
          <w:rFonts w:ascii="Times New Roman" w:hAnsi="Times New Roman"/>
          <w:b/>
          <w:sz w:val="22"/>
        </w:rPr>
        <w:t xml:space="preserve">(c)  </w:t>
      </w:r>
      <w:r>
        <w:rPr>
          <w:rFonts w:ascii="Times New Roman" w:hAnsi="Times New Roman"/>
          <w:sz w:val="22"/>
        </w:rPr>
        <w:t>Subsection (c) of § 812 applies to the determination under this section.</w:t>
      </w:r>
    </w:p>
    <w:p>
      <w:pPr>
        <w:ind w:left="432" w:hanging="432"/>
        <w:jc w:val="both"/>
      </w:pPr>
      <w:r>
        <w:rPr>
          <w:rFonts w:ascii="Times New Roman" w:hAnsi="Times New Roman"/>
          <w:b/>
          <w:sz w:val="22"/>
        </w:rPr>
        <w:t xml:space="preserve">(d)  </w:t>
      </w:r>
      <w:r>
        <w:rPr>
          <w:rFonts w:ascii="Times New Roman" w:hAnsi="Times New Roman"/>
          <w:sz w:val="22"/>
        </w:rPr>
        <w:t>Where the null strategy would cause the product not to advance at all, the report shall so state, and the return at absent skill shall be determined under the strategy that advances the product with the least player action.</w:t>
      </w:r>
    </w:p>
    <w:p>
      <w:pPr>
        <w:spacing w:before="200" w:after="200"/>
        <w:ind w:left="360" w:right="288"/>
        <w:pBdr>
          <w:top w:val="single" w:sz="4" w:space="8" w:color="B9C6CA"/>
          <w:bottom w:val="single" w:sz="4" w:space="8" w:color="B9C6CA"/>
          <w:left w:val="single" w:sz="4" w:space="8" w:color="B9C6CA"/>
          <w:right w:val="single" w:sz="4" w:space="8" w:color="B9C6CA"/>
        </w:pBdr>
        <w:shd w:val="clear" w:color="auto" w:fill="F2F6F7"/>
      </w:pPr>
      <w:r>
        <w:rPr>
          <w:rFonts w:ascii="Calibri" w:hAnsi="Calibri"/>
          <w:b/>
          <w:color w:val="143C46"/>
          <w:sz w:val="16"/>
        </w:rPr>
        <w:t>NOTE</w:t>
        <w:br/>
      </w:r>
      <w:r>
        <w:rPr>
          <w:rFonts w:ascii="Times New Roman" w:hAnsi="Times New Roman"/>
          <w:sz w:val="20"/>
        </w:rPr>
        <w:t>Paragraph (b)(2) is the provision that decides the case the category was built around. Where a device offers a skill element after a losing play, reachable only by actuating a prompt, the null strategy does not actuate the prompt. The return at absent skill is therefore the return of the base game alone, and the skill influence range is the whole of what the skill element contributes. Where instead a device requires the player to place a symbol in order for the play to resolve at all, the null strategy places it in the least effortful way, and the difference between that and optimal placement is what the skill element is worth.</w:t>
      </w:r>
    </w:p>
    <w:p>
      <w:pPr>
        <w:pStyle w:val="Heading2"/>
      </w:pPr>
      <w:r>
        <w:rPr>
          <w:rFonts w:ascii="Times New Roman" w:hAnsi="Times New Roman"/>
          <w:b/>
          <w:color w:val="143C46"/>
          <w:sz w:val="23"/>
        </w:rPr>
        <w:t xml:space="preserve">§ 814.  </w:t>
      </w:r>
      <w:r>
        <w:rPr>
          <w:rFonts w:ascii="Times New Roman" w:hAnsi="Times New Roman"/>
          <w:b/>
          <w:color w:val="000000"/>
          <w:sz w:val="23"/>
        </w:rPr>
        <w:t>Skill influence range</w:t>
      </w:r>
    </w:p>
    <w:p>
      <w:pPr>
        <w:ind w:left="432" w:hanging="432"/>
        <w:jc w:val="both"/>
      </w:pPr>
      <w:r>
        <w:rPr>
          <w:rFonts w:ascii="Times New Roman" w:hAnsi="Times New Roman"/>
          <w:b/>
          <w:sz w:val="22"/>
        </w:rPr>
        <w:t xml:space="preserve">(a)  </w:t>
      </w:r>
      <w:r>
        <w:rPr>
          <w:rFonts w:ascii="Times New Roman" w:hAnsi="Times New Roman"/>
          <w:sz w:val="22"/>
        </w:rPr>
        <w:t>The skill influence range is the return at optimal skill less the return at absent skill, stated in percentage points to one decimal place.</w:t>
      </w:r>
    </w:p>
    <w:p>
      <w:pPr>
        <w:ind w:left="432" w:hanging="432"/>
        <w:jc w:val="both"/>
      </w:pPr>
      <w:r>
        <w:rPr>
          <w:rFonts w:ascii="Times New Roman" w:hAnsi="Times New Roman"/>
          <w:b/>
          <w:sz w:val="22"/>
        </w:rPr>
        <w:t xml:space="preserve">(b)  </w:t>
      </w:r>
      <w:r>
        <w:rPr>
          <w:rFonts w:ascii="Times New Roman" w:hAnsi="Times New Roman"/>
          <w:sz w:val="22"/>
        </w:rPr>
        <w:t>The report under § 883 shall state the skill influence range for each configuration and for each amount determined under § 812(d).</w:t>
      </w:r>
    </w:p>
    <w:p>
      <w:pPr>
        <w:ind w:left="432" w:hanging="432"/>
        <w:jc w:val="both"/>
      </w:pPr>
      <w:r>
        <w:rPr>
          <w:rFonts w:ascii="Times New Roman" w:hAnsi="Times New Roman"/>
          <w:b/>
          <w:sz w:val="22"/>
        </w:rPr>
        <w:t xml:space="preserve">(c)  </w:t>
      </w:r>
      <w:r>
        <w:rPr>
          <w:rFonts w:ascii="Times New Roman" w:hAnsi="Times New Roman"/>
          <w:sz w:val="22"/>
        </w:rPr>
        <w:t>Where the skill influence range is zero, the report shall so state, and the product cannot be a demonstrated skill product under SBCGS-C § 106(g)(1).</w:t>
      </w:r>
    </w:p>
    <w:p>
      <w:pPr>
        <w:pStyle w:val="Heading2"/>
      </w:pPr>
      <w:r>
        <w:rPr>
          <w:rFonts w:ascii="Times New Roman" w:hAnsi="Times New Roman"/>
          <w:b/>
          <w:color w:val="143C46"/>
          <w:sz w:val="23"/>
        </w:rPr>
        <w:t xml:space="preserve">§ 815.  </w:t>
      </w:r>
      <w:r>
        <w:rPr>
          <w:rFonts w:ascii="Times New Roman" w:hAnsi="Times New Roman"/>
          <w:b/>
          <w:color w:val="000000"/>
          <w:sz w:val="23"/>
        </w:rPr>
        <w:t>Skill accessibility</w:t>
      </w:r>
    </w:p>
    <w:p>
      <w:pPr>
        <w:ind w:left="432" w:hanging="432"/>
        <w:jc w:val="both"/>
      </w:pPr>
      <w:r>
        <w:rPr>
          <w:rFonts w:ascii="Times New Roman" w:hAnsi="Times New Roman"/>
          <w:b/>
          <w:sz w:val="22"/>
        </w:rPr>
        <w:t xml:space="preserve">(a)  </w:t>
      </w:r>
      <w:r>
        <w:rPr>
          <w:rFonts w:ascii="Times New Roman" w:hAnsi="Times New Roman"/>
          <w:sz w:val="22"/>
        </w:rPr>
        <w:t>A test laboratory shall determine whether each skill element is accessible. A skill element is accessible only where each of the following is true.</w:t>
      </w:r>
    </w:p>
    <w:p>
      <w:pPr>
        <w:ind w:left="432" w:hanging="432"/>
        <w:jc w:val="both"/>
      </w:pPr>
      <w:r>
        <w:rPr>
          <w:rFonts w:ascii="Times New Roman" w:hAnsi="Times New Roman"/>
          <w:b/>
          <w:sz w:val="22"/>
        </w:rPr>
        <w:t xml:space="preserve">(b)  </w:t>
      </w:r>
      <w:r>
        <w:rPr>
          <w:rFonts w:ascii="Times New Roman" w:hAnsi="Times New Roman"/>
          <w:b/>
          <w:sz w:val="22"/>
        </w:rPr>
        <w:t>Described.</w:t>
      </w:r>
      <w:r>
        <w:rPr>
          <w:rFonts w:ascii="Times New Roman" w:hAnsi="Times New Roman"/>
          <w:sz w:val="22"/>
        </w:rPr>
        <w:t xml:space="preserve"> The rules of play state that the skill element exists, how it is reached, what the player must do, and what the player receives for completing it, and the rules of play are reachable from the idle state by a control identified on the primary display.</w:t>
      </w:r>
    </w:p>
    <w:p>
      <w:pPr>
        <w:ind w:left="432" w:hanging="432"/>
        <w:jc w:val="both"/>
      </w:pPr>
      <w:r>
        <w:rPr>
          <w:rFonts w:ascii="Times New Roman" w:hAnsi="Times New Roman"/>
          <w:b/>
          <w:sz w:val="22"/>
        </w:rPr>
        <w:t xml:space="preserve">(c)  </w:t>
      </w:r>
      <w:r>
        <w:rPr>
          <w:rFonts w:ascii="Times New Roman" w:hAnsi="Times New Roman"/>
          <w:b/>
          <w:sz w:val="22"/>
        </w:rPr>
        <w:t>Reachable on the device.</w:t>
      </w:r>
      <w:r>
        <w:rPr>
          <w:rFonts w:ascii="Times New Roman" w:hAnsi="Times New Roman"/>
          <w:sz w:val="22"/>
        </w:rPr>
        <w:t xml:space="preserve"> The skill element can be reached by a player using only information presented on or at the covered device. A skill element that can be reached only by a player who has been told of it by another person, or who has read a document not presented at the device, is not accessible.</w:t>
      </w:r>
    </w:p>
    <w:p>
      <w:pPr>
        <w:ind w:left="432" w:hanging="432"/>
        <w:jc w:val="both"/>
      </w:pPr>
      <w:r>
        <w:rPr>
          <w:rFonts w:ascii="Times New Roman" w:hAnsi="Times New Roman"/>
          <w:b/>
          <w:sz w:val="22"/>
        </w:rPr>
        <w:t xml:space="preserve">(d)  </w:t>
      </w:r>
      <w:r>
        <w:rPr>
          <w:rFonts w:ascii="Times New Roman" w:hAnsi="Times New Roman"/>
          <w:b/>
          <w:sz w:val="22"/>
        </w:rPr>
        <w:t>Prompted.</w:t>
      </w:r>
      <w:r>
        <w:rPr>
          <w:rFonts w:ascii="Times New Roman" w:hAnsi="Times New Roman"/>
          <w:sz w:val="22"/>
        </w:rPr>
        <w:t xml:space="preserve"> Where the skill element becomes available following a play, the device presents a prompt on the primary display that:</w:t>
      </w:r>
    </w:p>
    <w:p>
      <w:pPr>
        <w:ind w:left="864" w:hanging="432"/>
        <w:jc w:val="both"/>
      </w:pPr>
      <w:r>
        <w:rPr>
          <w:rFonts w:ascii="Times New Roman" w:hAnsi="Times New Roman"/>
          <w:b/>
          <w:sz w:val="22"/>
        </w:rPr>
        <w:t xml:space="preserve">(1)  </w:t>
      </w:r>
      <w:r>
        <w:rPr>
          <w:rFonts w:ascii="Times New Roman" w:hAnsi="Times New Roman"/>
          <w:sz w:val="22"/>
        </w:rPr>
        <w:t>states in plain language what the player may do and what the player may receive;</w:t>
      </w:r>
    </w:p>
    <w:p>
      <w:pPr>
        <w:ind w:left="864" w:hanging="432"/>
        <w:jc w:val="both"/>
      </w:pPr>
      <w:r>
        <w:rPr>
          <w:rFonts w:ascii="Times New Roman" w:hAnsi="Times New Roman"/>
          <w:b/>
          <w:sz w:val="22"/>
        </w:rPr>
        <w:t xml:space="preserve">(2)  </w:t>
      </w:r>
      <w:r>
        <w:rPr>
          <w:rFonts w:ascii="Times New Roman" w:hAnsi="Times New Roman"/>
          <w:sz w:val="22"/>
        </w:rPr>
        <w:t>remains available for not less than the greater of fifteen seconds or the period for which the device permits consideration to be committed for a further play; and</w:t>
      </w:r>
    </w:p>
    <w:p>
      <w:pPr>
        <w:ind w:left="864" w:hanging="432"/>
        <w:jc w:val="both"/>
      </w:pPr>
      <w:r>
        <w:rPr>
          <w:rFonts w:ascii="Times New Roman" w:hAnsi="Times New Roman"/>
          <w:b/>
          <w:sz w:val="22"/>
        </w:rPr>
        <w:t xml:space="preserve">(3)  </w:t>
      </w:r>
      <w:r>
        <w:rPr>
          <w:rFonts w:ascii="Times New Roman" w:hAnsi="Times New Roman"/>
          <w:sz w:val="22"/>
        </w:rPr>
        <w:t>is presented in type not smaller than that used for the award schedule.</w:t>
      </w:r>
    </w:p>
    <w:p>
      <w:pPr>
        <w:ind w:left="432" w:hanging="432"/>
        <w:jc w:val="both"/>
      </w:pPr>
      <w:r>
        <w:rPr>
          <w:rFonts w:ascii="Times New Roman" w:hAnsi="Times New Roman"/>
          <w:b/>
          <w:sz w:val="22"/>
        </w:rPr>
        <w:t xml:space="preserve">(e)  </w:t>
      </w:r>
      <w:r>
        <w:rPr>
          <w:rFonts w:ascii="Times New Roman" w:hAnsi="Times New Roman"/>
          <w:b/>
          <w:sz w:val="22"/>
        </w:rPr>
        <w:t>Bounded in time.</w:t>
      </w:r>
      <w:r>
        <w:rPr>
          <w:rFonts w:ascii="Times New Roman" w:hAnsi="Times New Roman"/>
          <w:sz w:val="22"/>
        </w:rPr>
        <w:t xml:space="preserve"> The skill time cost ratio does not exceed twenty, where the skill time cost ratio is the median elapsed time required to complete the skill element under the optimal strategy divided by the median elapsed time required to complete a base play. The laboratory shall measure both by execution against the prototype and shall state both in seconds.</w:t>
      </w:r>
    </w:p>
    <w:p>
      <w:pPr>
        <w:ind w:left="432" w:hanging="432"/>
        <w:jc w:val="both"/>
      </w:pPr>
      <w:r>
        <w:rPr>
          <w:rFonts w:ascii="Times New Roman" w:hAnsi="Times New Roman"/>
          <w:b/>
          <w:sz w:val="22"/>
        </w:rPr>
        <w:t xml:space="preserve">(f)  </w:t>
      </w:r>
      <w:r>
        <w:rPr>
          <w:rFonts w:ascii="Times New Roman" w:hAnsi="Times New Roman"/>
          <w:b/>
          <w:sz w:val="22"/>
        </w:rPr>
        <w:t>Not defeated by design.</w:t>
      </w:r>
      <w:r>
        <w:rPr>
          <w:rFonts w:ascii="Times New Roman" w:hAnsi="Times New Roman"/>
          <w:sz w:val="22"/>
        </w:rPr>
        <w:t xml:space="preserve"> No condition in § 818 is present.</w:t>
      </w:r>
    </w:p>
    <w:p>
      <w:pPr>
        <w:spacing w:before="240"/>
        <w:pBdr>
          <w:top w:val="single" w:sz="4" w:space="6" w:color="8A8A8A"/>
        </w:pBdr>
      </w:pPr>
      <w:r>
        <w:rPr>
          <w:rFonts w:ascii="Times New Roman" w:hAnsi="Times New Roman"/>
          <w:i/>
          <w:color w:val="555555"/>
          <w:sz w:val="17"/>
        </w:rPr>
        <w:t>Basis: Ohio Rev. Code § 2915.01(UU)(2)(e) and (f); Ohio Admin. Code 3772-50-24 app. A, Game Rules items 1 and 2, and Game Outcome items 3 through 7.</w:t>
      </w:r>
    </w:p>
    <w:p>
      <w:pPr>
        <w:spacing w:before="200" w:after="200"/>
        <w:ind w:left="360" w:right="288"/>
        <w:pBdr>
          <w:top w:val="single" w:sz="4" w:space="8" w:color="B9C6CA"/>
          <w:bottom w:val="single" w:sz="4" w:space="8" w:color="B9C6CA"/>
          <w:left w:val="single" w:sz="4" w:space="8" w:color="B9C6CA"/>
          <w:right w:val="single" w:sz="4" w:space="8" w:color="B9C6CA"/>
        </w:pBdr>
        <w:shd w:val="clear" w:color="auto" w:fill="F2F6F7"/>
      </w:pPr>
      <w:r>
        <w:rPr>
          <w:rFonts w:ascii="Calibri" w:hAnsi="Calibri"/>
          <w:b/>
          <w:color w:val="143C46"/>
          <w:sz w:val="16"/>
        </w:rPr>
        <w:t>NOTE</w:t>
        <w:br/>
      </w:r>
      <w:r>
        <w:rPr>
          <w:rFonts w:ascii="Times New Roman" w:hAnsi="Times New Roman"/>
          <w:sz w:val="20"/>
        </w:rPr>
        <w:t>The conditions in this section are drawn from a factual record. In the devices before the Supreme Court of Pennsylvania, the skill element was not described in the general instructions, was reached only through an unexplained prompt available for a few seconds after a losing play, took approximately twelve minutes to complete against a base play of a few seconds, and returned at most twenty cents on a four dollar commitment. Subsections (b), (d), and (e) each fail on those facts, and each fails on an observation a laboratory can make in an afternoon.</w:t>
      </w:r>
    </w:p>
    <w:p>
      <w:pPr>
        <w:pStyle w:val="Heading2"/>
      </w:pPr>
      <w:r>
        <w:rPr>
          <w:rFonts w:ascii="Times New Roman" w:hAnsi="Times New Roman"/>
          <w:b/>
          <w:color w:val="143C46"/>
          <w:sz w:val="23"/>
        </w:rPr>
        <w:t xml:space="preserve">§ 816.  </w:t>
      </w:r>
      <w:r>
        <w:rPr>
          <w:rFonts w:ascii="Times New Roman" w:hAnsi="Times New Roman"/>
          <w:b/>
          <w:color w:val="000000"/>
          <w:sz w:val="23"/>
        </w:rPr>
        <w:t>Instrumentation of skill events</w:t>
      </w:r>
    </w:p>
    <w:p>
      <w:pPr>
        <w:ind w:left="432" w:hanging="432"/>
        <w:jc w:val="both"/>
      </w:pPr>
      <w:r>
        <w:rPr>
          <w:rFonts w:ascii="Times New Roman" w:hAnsi="Times New Roman"/>
          <w:b/>
          <w:sz w:val="22"/>
        </w:rPr>
        <w:t xml:space="preserve">(a)  </w:t>
      </w:r>
      <w:r>
        <w:rPr>
          <w:rFonts w:ascii="Times New Roman" w:hAnsi="Times New Roman"/>
          <w:sz w:val="22"/>
        </w:rPr>
        <w:t>A covered device shall record, for each play:</w:t>
      </w:r>
    </w:p>
    <w:p>
      <w:pPr>
        <w:ind w:left="864" w:hanging="432"/>
        <w:jc w:val="both"/>
      </w:pPr>
      <w:r>
        <w:rPr>
          <w:rFonts w:ascii="Times New Roman" w:hAnsi="Times New Roman"/>
          <w:b/>
          <w:sz w:val="22"/>
        </w:rPr>
        <w:t xml:space="preserve">(1)  </w:t>
      </w:r>
      <w:r>
        <w:rPr>
          <w:rFonts w:ascii="Times New Roman" w:hAnsi="Times New Roman"/>
          <w:sz w:val="22"/>
        </w:rPr>
        <w:t>whether a skill element became available;</w:t>
      </w:r>
    </w:p>
    <w:p>
      <w:pPr>
        <w:ind w:left="864" w:hanging="432"/>
        <w:jc w:val="both"/>
      </w:pPr>
      <w:r>
        <w:rPr>
          <w:rFonts w:ascii="Times New Roman" w:hAnsi="Times New Roman"/>
          <w:b/>
          <w:sz w:val="22"/>
        </w:rPr>
        <w:t xml:space="preserve">(2)  </w:t>
      </w:r>
      <w:r>
        <w:rPr>
          <w:rFonts w:ascii="Times New Roman" w:hAnsi="Times New Roman"/>
          <w:sz w:val="22"/>
        </w:rPr>
        <w:t>whether the player initiated it;</w:t>
      </w:r>
    </w:p>
    <w:p>
      <w:pPr>
        <w:ind w:left="864" w:hanging="432"/>
        <w:jc w:val="both"/>
      </w:pPr>
      <w:r>
        <w:rPr>
          <w:rFonts w:ascii="Times New Roman" w:hAnsi="Times New Roman"/>
          <w:b/>
          <w:sz w:val="22"/>
        </w:rPr>
        <w:t xml:space="preserve">(3)  </w:t>
      </w:r>
      <w:r>
        <w:rPr>
          <w:rFonts w:ascii="Times New Roman" w:hAnsi="Times New Roman"/>
          <w:sz w:val="22"/>
        </w:rPr>
        <w:t>whether the player completed it;</w:t>
      </w:r>
    </w:p>
    <w:p>
      <w:pPr>
        <w:ind w:left="864" w:hanging="432"/>
        <w:jc w:val="both"/>
      </w:pPr>
      <w:r>
        <w:rPr>
          <w:rFonts w:ascii="Times New Roman" w:hAnsi="Times New Roman"/>
          <w:b/>
          <w:sz w:val="22"/>
        </w:rPr>
        <w:t xml:space="preserve">(4)  </w:t>
      </w:r>
      <w:r>
        <w:rPr>
          <w:rFonts w:ascii="Times New Roman" w:hAnsi="Times New Roman"/>
          <w:sz w:val="22"/>
        </w:rPr>
        <w:t>the elapsed time from the presentation of the prompt to initiation, and from initiation to completion or abandonment;</w:t>
      </w:r>
    </w:p>
    <w:p>
      <w:pPr>
        <w:ind w:left="864" w:hanging="432"/>
        <w:jc w:val="both"/>
      </w:pPr>
      <w:r>
        <w:rPr>
          <w:rFonts w:ascii="Times New Roman" w:hAnsi="Times New Roman"/>
          <w:b/>
          <w:sz w:val="22"/>
        </w:rPr>
        <w:t xml:space="preserve">(5)  </w:t>
      </w:r>
      <w:r>
        <w:rPr>
          <w:rFonts w:ascii="Times New Roman" w:hAnsi="Times New Roman"/>
          <w:sz w:val="22"/>
        </w:rPr>
        <w:t>the value returned on the play, and the portion of that value attributable to the skill element; and</w:t>
      </w:r>
    </w:p>
    <w:p>
      <w:pPr>
        <w:ind w:left="864" w:hanging="432"/>
        <w:jc w:val="both"/>
      </w:pPr>
      <w:r>
        <w:rPr>
          <w:rFonts w:ascii="Times New Roman" w:hAnsi="Times New Roman"/>
          <w:b/>
          <w:sz w:val="22"/>
        </w:rPr>
        <w:t xml:space="preserve">(6)  </w:t>
      </w:r>
      <w:r>
        <w:rPr>
          <w:rFonts w:ascii="Times New Roman" w:hAnsi="Times New Roman"/>
          <w:sz w:val="22"/>
        </w:rPr>
        <w:t>the identification of the skill element, where the product contains more than one.</w:t>
      </w:r>
    </w:p>
    <w:p>
      <w:pPr>
        <w:ind w:left="432" w:hanging="432"/>
        <w:jc w:val="both"/>
      </w:pPr>
      <w:r>
        <w:rPr>
          <w:rFonts w:ascii="Times New Roman" w:hAnsi="Times New Roman"/>
          <w:b/>
          <w:sz w:val="22"/>
        </w:rPr>
        <w:t xml:space="preserve">(b)  </w:t>
      </w:r>
      <w:r>
        <w:rPr>
          <w:rFonts w:ascii="Times New Roman" w:hAnsi="Times New Roman"/>
          <w:sz w:val="22"/>
        </w:rPr>
        <w:t>A covered device shall transmit the records required by subsection (a) to the monitoring system, in the aggregate form stated in § 852(a)(6), on the schedule stated in § 851.</w:t>
      </w:r>
    </w:p>
    <w:p>
      <w:pPr>
        <w:ind w:left="432" w:hanging="432"/>
        <w:jc w:val="both"/>
      </w:pPr>
      <w:r>
        <w:rPr>
          <w:rFonts w:ascii="Times New Roman" w:hAnsi="Times New Roman"/>
          <w:b/>
          <w:sz w:val="22"/>
        </w:rPr>
        <w:t xml:space="preserve">(c)  </w:t>
      </w:r>
      <w:r>
        <w:rPr>
          <w:rFonts w:ascii="Times New Roman" w:hAnsi="Times New Roman"/>
          <w:sz w:val="22"/>
        </w:rPr>
        <w:t>A covered device shall maintain cumulative meters for skill events available, skill events initiated, and skill events completed, subject to § 841.</w:t>
      </w:r>
    </w:p>
    <w:p>
      <w:pPr>
        <w:ind w:left="432" w:hanging="432"/>
        <w:jc w:val="both"/>
      </w:pPr>
      <w:r>
        <w:rPr>
          <w:rFonts w:ascii="Times New Roman" w:hAnsi="Times New Roman"/>
          <w:b/>
          <w:sz w:val="22"/>
        </w:rPr>
        <w:t xml:space="preserve">(d)  </w:t>
      </w:r>
      <w:r>
        <w:rPr>
          <w:rFonts w:ascii="Times New Roman" w:hAnsi="Times New Roman"/>
          <w:sz w:val="22"/>
        </w:rPr>
        <w:t>The records required by this section shall be sufficient to compute the skill realization rate defined in SBCGS-C § 106(f) for the device, for the product, and for the configuration, over any period.</w:t>
      </w:r>
    </w:p>
    <w:p>
      <w:pPr>
        <w:ind w:left="432" w:hanging="432"/>
        <w:jc w:val="both"/>
      </w:pPr>
      <w:r>
        <w:rPr>
          <w:rFonts w:ascii="Times New Roman" w:hAnsi="Times New Roman"/>
          <w:b/>
          <w:sz w:val="22"/>
        </w:rPr>
        <w:t xml:space="preserve">(e)  </w:t>
      </w:r>
      <w:r>
        <w:rPr>
          <w:rFonts w:ascii="Times New Roman" w:hAnsi="Times New Roman"/>
          <w:sz w:val="22"/>
        </w:rPr>
        <w:t>The records required by this section shall not include information identifying a player, except where the covered operator maintains a player account and the jurisdiction permits it.</w:t>
      </w:r>
    </w:p>
    <w:p>
      <w:pPr>
        <w:pStyle w:val="Heading2"/>
      </w:pPr>
      <w:r>
        <w:rPr>
          <w:rFonts w:ascii="Times New Roman" w:hAnsi="Times New Roman"/>
          <w:b/>
          <w:color w:val="143C46"/>
          <w:sz w:val="23"/>
        </w:rPr>
        <w:t xml:space="preserve">§ 817.  </w:t>
      </w:r>
      <w:r>
        <w:rPr>
          <w:rFonts w:ascii="Times New Roman" w:hAnsi="Times New Roman"/>
          <w:b/>
          <w:color w:val="000000"/>
          <w:sz w:val="23"/>
        </w:rPr>
        <w:t>Confinement of chance</w:t>
      </w:r>
    </w:p>
    <w:p>
      <w:pPr>
        <w:ind w:left="432" w:hanging="432"/>
        <w:jc w:val="both"/>
      </w:pPr>
      <w:r>
        <w:rPr>
          <w:rFonts w:ascii="Times New Roman" w:hAnsi="Times New Roman"/>
          <w:b/>
          <w:sz w:val="22"/>
        </w:rPr>
        <w:t xml:space="preserve">(a)  </w:t>
      </w:r>
      <w:r>
        <w:rPr>
          <w:rFonts w:ascii="Times New Roman" w:hAnsi="Times New Roman"/>
          <w:sz w:val="22"/>
        </w:rPr>
        <w:t>A random number generator, whether consulted before or during a play, shall not limit the value a player can obtain by successful application of a skill element.</w:t>
      </w:r>
    </w:p>
    <w:p>
      <w:pPr>
        <w:ind w:left="432" w:hanging="432"/>
        <w:jc w:val="both"/>
      </w:pPr>
      <w:r>
        <w:rPr>
          <w:rFonts w:ascii="Times New Roman" w:hAnsi="Times New Roman"/>
          <w:b/>
          <w:sz w:val="22"/>
        </w:rPr>
        <w:t xml:space="preserve">(b)  </w:t>
      </w:r>
      <w:r>
        <w:rPr>
          <w:rFonts w:ascii="Times New Roman" w:hAnsi="Times New Roman"/>
          <w:sz w:val="22"/>
        </w:rPr>
        <w:t>A covered device shall not consult a random number generator after the player has begun a skill element for the purpose of determining whether the skill element succeeds.</w:t>
      </w:r>
    </w:p>
    <w:p>
      <w:pPr>
        <w:ind w:left="432" w:hanging="432"/>
        <w:jc w:val="both"/>
      </w:pPr>
      <w:r>
        <w:rPr>
          <w:rFonts w:ascii="Times New Roman" w:hAnsi="Times New Roman"/>
          <w:b/>
          <w:sz w:val="22"/>
        </w:rPr>
        <w:t xml:space="preserve">(c)  </w:t>
      </w:r>
      <w:r>
        <w:rPr>
          <w:rFonts w:ascii="Times New Roman" w:hAnsi="Times New Roman"/>
          <w:sz w:val="22"/>
        </w:rPr>
        <w:t>Where a skill element determines whether an award is made, the device shall determine success solely from the player's performance measured against a criterion fixed before the skill element began.</w:t>
      </w:r>
    </w:p>
    <w:p>
      <w:pPr>
        <w:ind w:left="432" w:hanging="432"/>
        <w:jc w:val="both"/>
      </w:pPr>
      <w:r>
        <w:rPr>
          <w:rFonts w:ascii="Times New Roman" w:hAnsi="Times New Roman"/>
          <w:b/>
          <w:sz w:val="22"/>
        </w:rPr>
        <w:t xml:space="preserve">(d)  </w:t>
      </w:r>
      <w:r>
        <w:rPr>
          <w:rFonts w:ascii="Times New Roman" w:hAnsi="Times New Roman"/>
          <w:sz w:val="22"/>
        </w:rPr>
        <w:t>A covered device shall measure the task the player performs accurately and consistently from one player to the next.</w:t>
      </w:r>
    </w:p>
    <w:p>
      <w:pPr>
        <w:spacing w:before="240"/>
        <w:pBdr>
          <w:top w:val="single" w:sz="4" w:space="6" w:color="8A8A8A"/>
        </w:pBdr>
      </w:pPr>
      <w:r>
        <w:rPr>
          <w:rFonts w:ascii="Times New Roman" w:hAnsi="Times New Roman"/>
          <w:i/>
          <w:color w:val="555555"/>
          <w:sz w:val="17"/>
        </w:rPr>
        <w:t>Basis: Ohio Admin. Code 3772-50-24 app. A, Game Outcome items 3, 4, and 7.</w:t>
      </w:r>
    </w:p>
    <w:p>
      <w:pPr>
        <w:ind w:left="432" w:hanging="432"/>
        <w:jc w:val="both"/>
      </w:pPr>
      <w:r>
        <w:rPr>
          <w:rFonts w:ascii="Times New Roman" w:hAnsi="Times New Roman"/>
          <w:b/>
          <w:sz w:val="22"/>
        </w:rPr>
        <w:t xml:space="preserve">(e)  </w:t>
      </w:r>
      <w:r>
        <w:rPr>
          <w:rFonts w:ascii="Times New Roman" w:hAnsi="Times New Roman"/>
          <w:sz w:val="22"/>
        </w:rPr>
        <w:t>A random number generator used in a covered device shall be tested for statistical randomness and for unpredictability, and the report under § 883 shall state the tests applied and the results.</w:t>
      </w:r>
    </w:p>
    <w:p>
      <w:pPr>
        <w:spacing w:before="240"/>
        <w:pBdr>
          <w:top w:val="single" w:sz="4" w:space="6" w:color="8A8A8A"/>
        </w:pBdr>
      </w:pPr>
      <w:r>
        <w:rPr>
          <w:rFonts w:ascii="Times New Roman" w:hAnsi="Times New Roman"/>
          <w:i/>
          <w:color w:val="555555"/>
          <w:sz w:val="17"/>
        </w:rPr>
        <w:t>Basis: 25 C.F.R. § 547.14.</w:t>
      </w:r>
    </w:p>
    <w:p>
      <w:pPr>
        <w:pStyle w:val="Heading2"/>
      </w:pPr>
      <w:r>
        <w:rPr>
          <w:rFonts w:ascii="Times New Roman" w:hAnsi="Times New Roman"/>
          <w:b/>
          <w:color w:val="143C46"/>
          <w:sz w:val="23"/>
        </w:rPr>
        <w:t xml:space="preserve">§ 818.  </w:t>
      </w:r>
      <w:r>
        <w:rPr>
          <w:rFonts w:ascii="Times New Roman" w:hAnsi="Times New Roman"/>
          <w:b/>
          <w:color w:val="000000"/>
          <w:sz w:val="23"/>
        </w:rPr>
        <w:t>Prohibited skill-defeating designs</w:t>
      </w:r>
    </w:p>
    <w:p>
      <w:pPr>
        <w:jc w:val="both"/>
      </w:pPr>
      <w:r>
        <w:rPr>
          <w:rFonts w:ascii="Times New Roman" w:hAnsi="Times New Roman"/>
          <w:sz w:val="22"/>
        </w:rPr>
        <w:t>A covered device offering a skill-represented product shall not:</w:t>
      </w:r>
    </w:p>
    <w:p>
      <w:pPr>
        <w:ind w:left="432" w:hanging="432"/>
        <w:jc w:val="both"/>
      </w:pPr>
      <w:r>
        <w:rPr>
          <w:rFonts w:ascii="Times New Roman" w:hAnsi="Times New Roman"/>
          <w:b/>
          <w:sz w:val="22"/>
        </w:rPr>
        <w:t xml:space="preserve">(a)  </w:t>
      </w:r>
      <w:r>
        <w:rPr>
          <w:rFonts w:ascii="Times New Roman" w:hAnsi="Times New Roman"/>
          <w:sz w:val="22"/>
        </w:rPr>
        <w:t>present a skill element whose availability, difficulty, or value depends on the player's prior performance, on the device's prior outcomes, or on the revenue the device has generated;</w:t>
      </w:r>
    </w:p>
    <w:p>
      <w:pPr>
        <w:ind w:left="432" w:hanging="432"/>
        <w:jc w:val="both"/>
      </w:pPr>
      <w:r>
        <w:rPr>
          <w:rFonts w:ascii="Times New Roman" w:hAnsi="Times New Roman"/>
          <w:b/>
          <w:sz w:val="22"/>
        </w:rPr>
        <w:t xml:space="preserve">(b)  </w:t>
      </w:r>
      <w:r>
        <w:rPr>
          <w:rFonts w:ascii="Times New Roman" w:hAnsi="Times New Roman"/>
          <w:sz w:val="22"/>
        </w:rPr>
        <w:t>present a skill element that cannot be completed by a player performing correctly, or whose criterion for success is not fixed before the element begins;</w:t>
      </w:r>
    </w:p>
    <w:p>
      <w:pPr>
        <w:ind w:left="432" w:hanging="432"/>
        <w:jc w:val="both"/>
      </w:pPr>
      <w:r>
        <w:rPr>
          <w:rFonts w:ascii="Times New Roman" w:hAnsi="Times New Roman"/>
          <w:b/>
          <w:sz w:val="22"/>
        </w:rPr>
        <w:t xml:space="preserve">(c)  </w:t>
      </w:r>
      <w:r>
        <w:rPr>
          <w:rFonts w:ascii="Times New Roman" w:hAnsi="Times New Roman"/>
          <w:sz w:val="22"/>
        </w:rPr>
        <w:t>present a skill element whose completion returns a value that does not exceed the value returned for not completing it;</w:t>
      </w:r>
    </w:p>
    <w:p>
      <w:pPr>
        <w:ind w:left="432" w:hanging="432"/>
        <w:jc w:val="both"/>
      </w:pPr>
      <w:r>
        <w:rPr>
          <w:rFonts w:ascii="Times New Roman" w:hAnsi="Times New Roman"/>
          <w:b/>
          <w:sz w:val="22"/>
        </w:rPr>
        <w:t xml:space="preserve">(d)  </w:t>
      </w:r>
      <w:r>
        <w:rPr>
          <w:rFonts w:ascii="Times New Roman" w:hAnsi="Times New Roman"/>
          <w:sz w:val="22"/>
        </w:rPr>
        <w:t>present, as a skill element, an input that does not change the value returned on the play in which it is made;</w:t>
      </w:r>
    </w:p>
    <w:p>
      <w:pPr>
        <w:ind w:left="432" w:hanging="432"/>
        <w:jc w:val="both"/>
      </w:pPr>
      <w:r>
        <w:rPr>
          <w:rFonts w:ascii="Times New Roman" w:hAnsi="Times New Roman"/>
          <w:b/>
          <w:sz w:val="22"/>
        </w:rPr>
        <w:t xml:space="preserve">(e)  </w:t>
      </w:r>
      <w:r>
        <w:rPr>
          <w:rFonts w:ascii="Times New Roman" w:hAnsi="Times New Roman"/>
          <w:sz w:val="22"/>
        </w:rPr>
        <w:t>impose a delay, an interruption, or a repetition within a skill element that is not necessary to the task the player performs;</w:t>
      </w:r>
    </w:p>
    <w:p>
      <w:pPr>
        <w:ind w:left="432" w:hanging="432"/>
        <w:jc w:val="both"/>
      </w:pPr>
      <w:r>
        <w:rPr>
          <w:rFonts w:ascii="Times New Roman" w:hAnsi="Times New Roman"/>
          <w:b/>
          <w:sz w:val="22"/>
        </w:rPr>
        <w:t xml:space="preserve">(f)  </w:t>
      </w:r>
      <w:r>
        <w:rPr>
          <w:rFonts w:ascii="Times New Roman" w:hAnsi="Times New Roman"/>
          <w:sz w:val="22"/>
        </w:rPr>
        <w:t>present the prompt for a skill element in a manner that a player is likely to dismiss by performing the action required to commit consideration for a further play;</w:t>
      </w:r>
    </w:p>
    <w:p>
      <w:pPr>
        <w:ind w:left="432" w:hanging="432"/>
        <w:jc w:val="both"/>
      </w:pPr>
      <w:r>
        <w:rPr>
          <w:rFonts w:ascii="Times New Roman" w:hAnsi="Times New Roman"/>
          <w:b/>
          <w:sz w:val="22"/>
        </w:rPr>
        <w:t xml:space="preserve">(g)  </w:t>
      </w:r>
      <w:r>
        <w:rPr>
          <w:rFonts w:ascii="Times New Roman" w:hAnsi="Times New Roman"/>
          <w:sz w:val="22"/>
        </w:rPr>
        <w:t>withdraw the opportunity to engage a skill element on the ground that the player has previously completed it; or</w:t>
      </w:r>
    </w:p>
    <w:p>
      <w:pPr>
        <w:ind w:left="432" w:hanging="432"/>
        <w:jc w:val="both"/>
      </w:pPr>
      <w:r>
        <w:rPr>
          <w:rFonts w:ascii="Times New Roman" w:hAnsi="Times New Roman"/>
          <w:b/>
          <w:sz w:val="22"/>
        </w:rPr>
        <w:t xml:space="preserve">(h)  </w:t>
      </w:r>
      <w:r>
        <w:rPr>
          <w:rFonts w:ascii="Times New Roman" w:hAnsi="Times New Roman"/>
          <w:sz w:val="22"/>
        </w:rPr>
        <w:t>require, in order to reach a skill element, an input sequence longer than three player actions from the state in which the element becomes available.</w:t>
      </w:r>
    </w:p>
    <w:p>
      <w:pPr>
        <w:spacing w:before="200" w:after="200"/>
        <w:ind w:left="360" w:right="288"/>
        <w:pBdr>
          <w:top w:val="single" w:sz="4" w:space="8" w:color="B9C6CA"/>
          <w:bottom w:val="single" w:sz="4" w:space="8" w:color="B9C6CA"/>
          <w:left w:val="single" w:sz="4" w:space="8" w:color="B9C6CA"/>
          <w:right w:val="single" w:sz="4" w:space="8" w:color="B9C6CA"/>
        </w:pBdr>
        <w:shd w:val="clear" w:color="auto" w:fill="F2F6F7"/>
      </w:pPr>
      <w:r>
        <w:rPr>
          <w:rFonts w:ascii="Calibri" w:hAnsi="Calibri"/>
          <w:b/>
          <w:color w:val="143C46"/>
          <w:sz w:val="16"/>
        </w:rPr>
        <w:t>NOTE</w:t>
        <w:br/>
      </w:r>
      <w:r>
        <w:rPr>
          <w:rFonts w:ascii="Times New Roman" w:hAnsi="Times New Roman"/>
          <w:sz w:val="20"/>
        </w:rPr>
        <w:t>Subsection (c) states a floor that ought to be unnecessary and is not. A skill element that returns less than doing nothing is not a skill element, whatever it is called. Subsection (f) addresses the design in which the prompt to engage the skill element occupies the position that the play button occupies a moment later, so that a player continuing to play dismisses it without seeing it.</w:t>
      </w:r>
    </w:p>
    <w:p>
      <w:pPr>
        <w:pStyle w:val="Heading2"/>
      </w:pPr>
      <w:r>
        <w:rPr>
          <w:rFonts w:ascii="Times New Roman" w:hAnsi="Times New Roman"/>
          <w:b/>
          <w:color w:val="143C46"/>
          <w:sz w:val="23"/>
        </w:rPr>
        <w:t xml:space="preserve">§ 819.  </w:t>
      </w:r>
      <w:r>
        <w:rPr>
          <w:rFonts w:ascii="Times New Roman" w:hAnsi="Times New Roman"/>
          <w:b/>
          <w:color w:val="000000"/>
          <w:sz w:val="23"/>
        </w:rPr>
        <w:t>Content of the laboratory report on this Part</w:t>
      </w:r>
    </w:p>
    <w:p>
      <w:pPr>
        <w:jc w:val="both"/>
      </w:pPr>
      <w:r>
        <w:rPr>
          <w:rFonts w:ascii="Times New Roman" w:hAnsi="Times New Roman"/>
          <w:sz w:val="22"/>
        </w:rPr>
        <w:t>The report under § 883 shall state, for each configuration:</w:t>
      </w:r>
    </w:p>
    <w:p>
      <w:pPr>
        <w:ind w:left="432" w:hanging="432"/>
        <w:jc w:val="both"/>
      </w:pPr>
      <w:r>
        <w:rPr>
          <w:rFonts w:ascii="Times New Roman" w:hAnsi="Times New Roman"/>
          <w:b/>
          <w:sz w:val="22"/>
        </w:rPr>
        <w:t xml:space="preserve">(a)  </w:t>
      </w:r>
      <w:r>
        <w:rPr>
          <w:rFonts w:ascii="Times New Roman" w:hAnsi="Times New Roman"/>
          <w:sz w:val="22"/>
        </w:rPr>
        <w:t>the return at optimal skill, the method of determination, and where by simulation the number of plays and the confidence interval;</w:t>
      </w:r>
    </w:p>
    <w:p>
      <w:pPr>
        <w:ind w:left="432" w:hanging="432"/>
        <w:jc w:val="both"/>
      </w:pPr>
      <w:r>
        <w:rPr>
          <w:rFonts w:ascii="Times New Roman" w:hAnsi="Times New Roman"/>
          <w:b/>
          <w:sz w:val="22"/>
        </w:rPr>
        <w:t xml:space="preserve">(b)  </w:t>
      </w:r>
      <w:r>
        <w:rPr>
          <w:rFonts w:ascii="Times New Roman" w:hAnsi="Times New Roman"/>
          <w:sz w:val="22"/>
        </w:rPr>
        <w:t>the return at absent skill, the null strategy applied, and the same method information;</w:t>
      </w:r>
    </w:p>
    <w:p>
      <w:pPr>
        <w:ind w:left="432" w:hanging="432"/>
        <w:jc w:val="both"/>
      </w:pPr>
      <w:r>
        <w:rPr>
          <w:rFonts w:ascii="Times New Roman" w:hAnsi="Times New Roman"/>
          <w:b/>
          <w:sz w:val="22"/>
        </w:rPr>
        <w:t xml:space="preserve">(c)  </w:t>
      </w:r>
      <w:r>
        <w:rPr>
          <w:rFonts w:ascii="Times New Roman" w:hAnsi="Times New Roman"/>
          <w:sz w:val="22"/>
        </w:rPr>
        <w:t>the skill influence range;</w:t>
      </w:r>
    </w:p>
    <w:p>
      <w:pPr>
        <w:ind w:left="432" w:hanging="432"/>
        <w:jc w:val="both"/>
      </w:pPr>
      <w:r>
        <w:rPr>
          <w:rFonts w:ascii="Times New Roman" w:hAnsi="Times New Roman"/>
          <w:b/>
          <w:sz w:val="22"/>
        </w:rPr>
        <w:t xml:space="preserve">(d)  </w:t>
      </w:r>
      <w:r>
        <w:rPr>
          <w:rFonts w:ascii="Times New Roman" w:hAnsi="Times New Roman"/>
          <w:sz w:val="22"/>
        </w:rPr>
        <w:t>each condition in § 815, whether it is satisfied, and the observation supporting the conclusion, including the measured times under § 815(e);</w:t>
      </w:r>
    </w:p>
    <w:p>
      <w:pPr>
        <w:ind w:left="432" w:hanging="432"/>
        <w:jc w:val="both"/>
      </w:pPr>
      <w:r>
        <w:rPr>
          <w:rFonts w:ascii="Times New Roman" w:hAnsi="Times New Roman"/>
          <w:b/>
          <w:sz w:val="22"/>
        </w:rPr>
        <w:t xml:space="preserve">(e)  </w:t>
      </w:r>
      <w:r>
        <w:rPr>
          <w:rFonts w:ascii="Times New Roman" w:hAnsi="Times New Roman"/>
          <w:sz w:val="22"/>
        </w:rPr>
        <w:t>each condition in § 818, and whether it is present;</w:t>
      </w:r>
    </w:p>
    <w:p>
      <w:pPr>
        <w:ind w:left="432" w:hanging="432"/>
        <w:jc w:val="both"/>
      </w:pPr>
      <w:r>
        <w:rPr>
          <w:rFonts w:ascii="Times New Roman" w:hAnsi="Times New Roman"/>
          <w:b/>
          <w:sz w:val="22"/>
        </w:rPr>
        <w:t xml:space="preserve">(f)  </w:t>
      </w:r>
      <w:r>
        <w:rPr>
          <w:rFonts w:ascii="Times New Roman" w:hAnsi="Times New Roman"/>
          <w:sz w:val="22"/>
        </w:rPr>
        <w:t>the results of the tests in § 817(e);</w:t>
      </w:r>
    </w:p>
    <w:p>
      <w:pPr>
        <w:ind w:left="432" w:hanging="432"/>
        <w:jc w:val="both"/>
      </w:pPr>
      <w:r>
        <w:rPr>
          <w:rFonts w:ascii="Times New Roman" w:hAnsi="Times New Roman"/>
          <w:b/>
          <w:sz w:val="22"/>
        </w:rPr>
        <w:t xml:space="preserve">(g)  </w:t>
      </w:r>
      <w:r>
        <w:rPr>
          <w:rFonts w:ascii="Times New Roman" w:hAnsi="Times New Roman"/>
          <w:sz w:val="22"/>
        </w:rPr>
        <w:t>confirmation that the instrumentation required by § 816 operates, with the test performed; and</w:t>
      </w:r>
    </w:p>
    <w:p>
      <w:pPr>
        <w:ind w:left="432" w:hanging="432"/>
        <w:jc w:val="both"/>
      </w:pPr>
      <w:r>
        <w:rPr>
          <w:rFonts w:ascii="Times New Roman" w:hAnsi="Times New Roman"/>
          <w:b/>
          <w:sz w:val="22"/>
        </w:rPr>
        <w:t xml:space="preserve">(h)  </w:t>
      </w:r>
      <w:r>
        <w:rPr>
          <w:rFonts w:ascii="Times New Roman" w:hAnsi="Times New Roman"/>
          <w:sz w:val="22"/>
        </w:rPr>
        <w:t>the resulting classification available under SBCGS-C § 106(g), stated as provisional pending determination of the skill realization rate.</w:t>
      </w:r>
    </w:p>
    <w:p>
      <w:r>
        <w:br w:type="page"/>
      </w:r>
    </w:p>
    <w:p>
      <w:pPr>
        <w:spacing w:after="40"/>
      </w:pPr>
      <w:r>
        <w:rPr>
          <w:rFonts w:ascii="Calibri" w:hAnsi="Calibri"/>
          <w:b/>
          <w:color w:val="143C46"/>
          <w:sz w:val="18"/>
        </w:rPr>
        <w:t>PART 820</w:t>
      </w:r>
    </w:p>
    <w:p>
      <w:pPr>
        <w:pStyle w:val="Heading1"/>
        <w:spacing w:before="0"/>
        <w:pBdr>
          <w:bottom w:val="single" w:sz="8" w:space="6" w:color="143C46"/>
        </w:pBdr>
      </w:pPr>
      <w:r>
        <w:rPr>
          <w:rFonts w:ascii="Times New Roman" w:hAnsi="Times New Roman"/>
          <w:b/>
          <w:color w:val="000000"/>
          <w:sz w:val="30"/>
        </w:rPr>
        <w:t>Player Interface and Disclosure</w:t>
      </w:r>
    </w:p>
    <w:p>
      <w:pPr>
        <w:pStyle w:val="Heading2"/>
      </w:pPr>
      <w:r>
        <w:rPr>
          <w:rFonts w:ascii="Times New Roman" w:hAnsi="Times New Roman"/>
          <w:b/>
          <w:color w:val="143C46"/>
          <w:sz w:val="23"/>
        </w:rPr>
        <w:t xml:space="preserve">§ 821.  </w:t>
      </w:r>
      <w:r>
        <w:rPr>
          <w:rFonts w:ascii="Times New Roman" w:hAnsi="Times New Roman"/>
          <w:b/>
          <w:color w:val="000000"/>
          <w:sz w:val="23"/>
        </w:rPr>
        <w:t>Rules of play</w:t>
      </w:r>
    </w:p>
    <w:p>
      <w:pPr>
        <w:ind w:left="432" w:hanging="432"/>
        <w:jc w:val="both"/>
      </w:pPr>
      <w:r>
        <w:rPr>
          <w:rFonts w:ascii="Times New Roman" w:hAnsi="Times New Roman"/>
          <w:b/>
          <w:sz w:val="22"/>
        </w:rPr>
        <w:t xml:space="preserve">(a)  </w:t>
      </w:r>
      <w:r>
        <w:rPr>
          <w:rFonts w:ascii="Times New Roman" w:hAnsi="Times New Roman"/>
          <w:sz w:val="22"/>
        </w:rPr>
        <w:t>A covered device shall present the rules of play on the primary display, reachable from the idle state by a control identified on the primary display, and shall present them before consideration is committed if the player requests them.</w:t>
      </w:r>
    </w:p>
    <w:p>
      <w:pPr>
        <w:ind w:left="432" w:hanging="432"/>
        <w:jc w:val="both"/>
      </w:pPr>
      <w:r>
        <w:rPr>
          <w:rFonts w:ascii="Times New Roman" w:hAnsi="Times New Roman"/>
          <w:b/>
          <w:sz w:val="22"/>
        </w:rPr>
        <w:t xml:space="preserve">(b)  </w:t>
      </w:r>
      <w:r>
        <w:rPr>
          <w:rFonts w:ascii="Times New Roman" w:hAnsi="Times New Roman"/>
          <w:sz w:val="22"/>
        </w:rPr>
        <w:t>The rules of play shall state the cost of a play, the amounts that may be committed, the award schedule, the maximum award on a single play, how a play resolves, and, for a skill-represented product, the matters required by § 815(b).</w:t>
      </w:r>
    </w:p>
    <w:p>
      <w:pPr>
        <w:ind w:left="432" w:hanging="432"/>
        <w:jc w:val="both"/>
      </w:pPr>
      <w:r>
        <w:rPr>
          <w:rFonts w:ascii="Times New Roman" w:hAnsi="Times New Roman"/>
          <w:b/>
          <w:sz w:val="22"/>
        </w:rPr>
        <w:t xml:space="preserve">(c)  </w:t>
      </w:r>
      <w:r>
        <w:rPr>
          <w:rFonts w:ascii="Times New Roman" w:hAnsi="Times New Roman"/>
          <w:sz w:val="22"/>
        </w:rPr>
        <w:t>Where the rules of play or the award schedule change, the device shall display notice of the change before the next play.</w:t>
      </w:r>
    </w:p>
    <w:p>
      <w:pPr>
        <w:spacing w:before="240"/>
        <w:pBdr>
          <w:top w:val="single" w:sz="4" w:space="6" w:color="8A8A8A"/>
        </w:pBdr>
      </w:pPr>
      <w:r>
        <w:rPr>
          <w:rFonts w:ascii="Times New Roman" w:hAnsi="Times New Roman"/>
          <w:i/>
          <w:color w:val="555555"/>
          <w:sz w:val="17"/>
        </w:rPr>
        <w:t>Basis: Ohio Admin. Code 3772-50-24 app. A, Game Rules items 1 and 3; GLI-11 v3.0 § 4.20.6; Pa. H.B. 2557, § 5302(b)(3) (2026).</w:t>
      </w:r>
    </w:p>
    <w:p>
      <w:pPr>
        <w:pStyle w:val="Heading2"/>
      </w:pPr>
      <w:r>
        <w:rPr>
          <w:rFonts w:ascii="Times New Roman" w:hAnsi="Times New Roman"/>
          <w:b/>
          <w:color w:val="143C46"/>
          <w:sz w:val="23"/>
        </w:rPr>
        <w:t xml:space="preserve">§ 822.  </w:t>
      </w:r>
      <w:r>
        <w:rPr>
          <w:rFonts w:ascii="Times New Roman" w:hAnsi="Times New Roman"/>
          <w:b/>
          <w:color w:val="000000"/>
          <w:sz w:val="23"/>
        </w:rPr>
        <w:t>Session information</w:t>
      </w:r>
    </w:p>
    <w:p>
      <w:pPr>
        <w:ind w:left="432" w:hanging="432"/>
        <w:jc w:val="both"/>
      </w:pPr>
      <w:r>
        <w:rPr>
          <w:rFonts w:ascii="Times New Roman" w:hAnsi="Times New Roman"/>
          <w:b/>
          <w:sz w:val="22"/>
        </w:rPr>
        <w:t xml:space="preserve">(a)  </w:t>
      </w:r>
      <w:r>
        <w:rPr>
          <w:rFonts w:ascii="Times New Roman" w:hAnsi="Times New Roman"/>
          <w:sz w:val="22"/>
        </w:rPr>
        <w:t>A covered device shall display continuously, while a session is in progress, the elapsed session time, the amount committed in the session, the value of awards received in the session, and the net position for the session.</w:t>
      </w:r>
    </w:p>
    <w:p>
      <w:pPr>
        <w:ind w:left="432" w:hanging="432"/>
        <w:jc w:val="both"/>
      </w:pPr>
      <w:r>
        <w:rPr>
          <w:rFonts w:ascii="Times New Roman" w:hAnsi="Times New Roman"/>
          <w:b/>
          <w:sz w:val="22"/>
        </w:rPr>
        <w:t xml:space="preserve">(b)  </w:t>
      </w:r>
      <w:r>
        <w:rPr>
          <w:rFonts w:ascii="Times New Roman" w:hAnsi="Times New Roman"/>
          <w:sz w:val="22"/>
        </w:rPr>
        <w:t>Upon a suspension under § 834, the device shall display the same information in a view that requires a player action to dismiss.</w:t>
      </w:r>
    </w:p>
    <w:p>
      <w:pPr>
        <w:spacing w:before="240"/>
        <w:pBdr>
          <w:top w:val="single" w:sz="4" w:space="6" w:color="8A8A8A"/>
        </w:pBdr>
      </w:pPr>
      <w:r>
        <w:rPr>
          <w:rFonts w:ascii="Times New Roman" w:hAnsi="Times New Roman"/>
          <w:i/>
          <w:color w:val="555555"/>
          <w:sz w:val="17"/>
        </w:rPr>
        <w:t>Basis: Pa. H.B. 2557, § 5304(b) and (d) (2026).</w:t>
      </w:r>
    </w:p>
    <w:p>
      <w:pPr>
        <w:pStyle w:val="Heading2"/>
      </w:pPr>
      <w:r>
        <w:rPr>
          <w:rFonts w:ascii="Times New Roman" w:hAnsi="Times New Roman"/>
          <w:b/>
          <w:color w:val="143C46"/>
          <w:sz w:val="23"/>
        </w:rPr>
        <w:t xml:space="preserve">§ 823.  </w:t>
      </w:r>
      <w:r>
        <w:rPr>
          <w:rFonts w:ascii="Times New Roman" w:hAnsi="Times New Roman"/>
          <w:b/>
          <w:color w:val="000000"/>
          <w:sz w:val="23"/>
        </w:rPr>
        <w:t>Skill disclosure</w:t>
      </w:r>
    </w:p>
    <w:p>
      <w:pPr>
        <w:ind w:left="432" w:hanging="432"/>
        <w:jc w:val="both"/>
      </w:pPr>
      <w:r>
        <w:rPr>
          <w:rFonts w:ascii="Times New Roman" w:hAnsi="Times New Roman"/>
          <w:b/>
          <w:sz w:val="22"/>
        </w:rPr>
        <w:t xml:space="preserve">(a)  </w:t>
      </w:r>
      <w:r>
        <w:rPr>
          <w:rFonts w:ascii="Times New Roman" w:hAnsi="Times New Roman"/>
          <w:sz w:val="22"/>
        </w:rPr>
        <w:t>A covered device offering a skill-represented product shall display the return at optimal skill and the return at absent skill, each stated to one decimal place, in a single view reachable from the idle state by a single player action, in type not smaller than that used for the award schedule.</w:t>
      </w:r>
    </w:p>
    <w:p>
      <w:pPr>
        <w:ind w:left="432" w:hanging="432"/>
        <w:jc w:val="both"/>
      </w:pPr>
      <w:r>
        <w:rPr>
          <w:rFonts w:ascii="Times New Roman" w:hAnsi="Times New Roman"/>
          <w:b/>
          <w:sz w:val="22"/>
        </w:rPr>
        <w:t xml:space="preserve">(b)  </w:t>
      </w:r>
      <w:r>
        <w:rPr>
          <w:rFonts w:ascii="Times New Roman" w:hAnsi="Times New Roman"/>
          <w:sz w:val="22"/>
        </w:rPr>
        <w:t>The device shall not display one of the two figures without the other, and shall not permit a configuration in which one is suppressed.</w:t>
      </w:r>
    </w:p>
    <w:p>
      <w:pPr>
        <w:ind w:left="432" w:hanging="432"/>
        <w:jc w:val="both"/>
      </w:pPr>
      <w:r>
        <w:rPr>
          <w:rFonts w:ascii="Times New Roman" w:hAnsi="Times New Roman"/>
          <w:b/>
          <w:sz w:val="22"/>
        </w:rPr>
        <w:t xml:space="preserve">(c)  </w:t>
      </w:r>
      <w:r>
        <w:rPr>
          <w:rFonts w:ascii="Times New Roman" w:hAnsi="Times New Roman"/>
          <w:sz w:val="22"/>
        </w:rPr>
        <w:t>The device shall display the skill influence range in the same view.</w:t>
      </w:r>
    </w:p>
    <w:p>
      <w:pPr>
        <w:ind w:left="432" w:hanging="432"/>
        <w:jc w:val="both"/>
      </w:pPr>
      <w:r>
        <w:rPr>
          <w:rFonts w:ascii="Times New Roman" w:hAnsi="Times New Roman"/>
          <w:b/>
          <w:sz w:val="22"/>
        </w:rPr>
        <w:t xml:space="preserve">(d)  </w:t>
      </w:r>
      <w:r>
        <w:rPr>
          <w:rFonts w:ascii="Times New Roman" w:hAnsi="Times New Roman"/>
          <w:sz w:val="22"/>
        </w:rPr>
        <w:t>The device shall display, for each skill element, the median time to completion measured under § 815(e) and the value returned for completing it.</w:t>
      </w:r>
    </w:p>
    <w:p>
      <w:pPr>
        <w:ind w:left="432" w:hanging="432"/>
        <w:jc w:val="both"/>
      </w:pPr>
      <w:r>
        <w:rPr>
          <w:rFonts w:ascii="Times New Roman" w:hAnsi="Times New Roman"/>
          <w:b/>
          <w:sz w:val="22"/>
        </w:rPr>
        <w:t xml:space="preserve">(e)  </w:t>
      </w:r>
      <w:r>
        <w:rPr>
          <w:rFonts w:ascii="Times New Roman" w:hAnsi="Times New Roman"/>
          <w:sz w:val="22"/>
        </w:rPr>
        <w:t>A covered device offering a product classified as a nominal skill product under SBCGS-C § 106(g)(2) shall not display any statement that the outcome depends on the skill of the player, and shall display the return at absent skill as the return to player required by § 824(a)(1).</w:t>
      </w:r>
    </w:p>
    <w:p>
      <w:pPr>
        <w:pStyle w:val="Heading2"/>
      </w:pPr>
      <w:r>
        <w:rPr>
          <w:rFonts w:ascii="Times New Roman" w:hAnsi="Times New Roman"/>
          <w:b/>
          <w:color w:val="143C46"/>
          <w:sz w:val="23"/>
        </w:rPr>
        <w:t xml:space="preserve">§ 824.  </w:t>
      </w:r>
      <w:r>
        <w:rPr>
          <w:rFonts w:ascii="Times New Roman" w:hAnsi="Times New Roman"/>
          <w:b/>
          <w:color w:val="000000"/>
          <w:sz w:val="23"/>
        </w:rPr>
        <w:t>Other required display</w:t>
      </w:r>
    </w:p>
    <w:p>
      <w:pPr>
        <w:ind w:left="432" w:hanging="432"/>
        <w:jc w:val="both"/>
      </w:pPr>
      <w:r>
        <w:rPr>
          <w:rFonts w:ascii="Times New Roman" w:hAnsi="Times New Roman"/>
          <w:b/>
          <w:sz w:val="22"/>
        </w:rPr>
        <w:t xml:space="preserve">(a)  </w:t>
      </w:r>
      <w:r>
        <w:rPr>
          <w:rFonts w:ascii="Times New Roman" w:hAnsi="Times New Roman"/>
          <w:sz w:val="22"/>
        </w:rPr>
        <w:t>A covered device shall display, reachable from the idle state by a control identified on the primary display:</w:t>
      </w:r>
    </w:p>
    <w:p>
      <w:pPr>
        <w:ind w:left="864" w:hanging="432"/>
        <w:jc w:val="both"/>
      </w:pPr>
      <w:r>
        <w:rPr>
          <w:rFonts w:ascii="Times New Roman" w:hAnsi="Times New Roman"/>
          <w:b/>
          <w:sz w:val="22"/>
        </w:rPr>
        <w:t xml:space="preserve">(1)  </w:t>
      </w:r>
      <w:r>
        <w:rPr>
          <w:rFonts w:ascii="Times New Roman" w:hAnsi="Times New Roman"/>
          <w:sz w:val="22"/>
        </w:rPr>
        <w:t>the theoretical return to player for the configuration in operation, stated to one decimal place;</w:t>
      </w:r>
    </w:p>
    <w:p>
      <w:pPr>
        <w:ind w:left="864" w:hanging="432"/>
        <w:jc w:val="both"/>
      </w:pPr>
      <w:r>
        <w:rPr>
          <w:rFonts w:ascii="Times New Roman" w:hAnsi="Times New Roman"/>
          <w:b/>
          <w:sz w:val="22"/>
        </w:rPr>
        <w:t xml:space="preserve">(2)  </w:t>
      </w:r>
      <w:r>
        <w:rPr>
          <w:rFonts w:ascii="Times New Roman" w:hAnsi="Times New Roman"/>
          <w:sz w:val="22"/>
        </w:rPr>
        <w:t>the identity of the covered operator and the means of making a complaint under SBCGS-M § 306;</w:t>
      </w:r>
    </w:p>
    <w:p>
      <w:pPr>
        <w:ind w:left="864" w:hanging="432"/>
        <w:jc w:val="both"/>
      </w:pPr>
      <w:r>
        <w:rPr>
          <w:rFonts w:ascii="Times New Roman" w:hAnsi="Times New Roman"/>
          <w:b/>
          <w:sz w:val="22"/>
        </w:rPr>
        <w:t xml:space="preserve">(3)  </w:t>
      </w:r>
      <w:r>
        <w:rPr>
          <w:rFonts w:ascii="Times New Roman" w:hAnsi="Times New Roman"/>
          <w:sz w:val="22"/>
        </w:rPr>
        <w:t>the statement and telephone number required by SBCGS-M § 305(c); and</w:t>
      </w:r>
    </w:p>
    <w:p>
      <w:pPr>
        <w:ind w:left="864" w:hanging="432"/>
        <w:jc w:val="both"/>
      </w:pPr>
      <w:r>
        <w:rPr>
          <w:rFonts w:ascii="Times New Roman" w:hAnsi="Times New Roman"/>
          <w:b/>
          <w:sz w:val="22"/>
        </w:rPr>
        <w:t xml:space="preserve">(4)  </w:t>
      </w:r>
      <w:r>
        <w:rPr>
          <w:rFonts w:ascii="Times New Roman" w:hAnsi="Times New Roman"/>
          <w:sz w:val="22"/>
        </w:rPr>
        <w:t>the minimum age required by SBCGS-M § 401.</w:t>
      </w:r>
    </w:p>
    <w:p>
      <w:pPr>
        <w:ind w:left="432" w:hanging="432"/>
        <w:jc w:val="both"/>
      </w:pPr>
      <w:r>
        <w:rPr>
          <w:rFonts w:ascii="Times New Roman" w:hAnsi="Times New Roman"/>
          <w:b/>
          <w:sz w:val="22"/>
        </w:rPr>
        <w:t xml:space="preserve">(b)  </w:t>
      </w:r>
      <w:r>
        <w:rPr>
          <w:rFonts w:ascii="Times New Roman" w:hAnsi="Times New Roman"/>
          <w:sz w:val="22"/>
        </w:rPr>
        <w:t>Where a charitable representation is made, the device shall display the matters required by SBCGS-M § 503, reachable from the idle state by a control identified on the primary display.</w:t>
      </w:r>
    </w:p>
    <w:p>
      <w:pPr>
        <w:ind w:left="432" w:hanging="432"/>
        <w:jc w:val="both"/>
      </w:pPr>
      <w:r>
        <w:rPr>
          <w:rFonts w:ascii="Times New Roman" w:hAnsi="Times New Roman"/>
          <w:b/>
          <w:sz w:val="22"/>
        </w:rPr>
        <w:t xml:space="preserve">(c)  </w:t>
      </w:r>
      <w:r>
        <w:rPr>
          <w:rFonts w:ascii="Times New Roman" w:hAnsi="Times New Roman"/>
          <w:sz w:val="22"/>
        </w:rPr>
        <w:t>The device shall permit the values displayed under subsection (b) to be updated remotely and shall record each update under § 862.</w:t>
      </w:r>
    </w:p>
    <w:p>
      <w:pPr>
        <w:pStyle w:val="Heading2"/>
      </w:pPr>
      <w:r>
        <w:rPr>
          <w:rFonts w:ascii="Times New Roman" w:hAnsi="Times New Roman"/>
          <w:b/>
          <w:color w:val="143C46"/>
          <w:sz w:val="23"/>
        </w:rPr>
        <w:t xml:space="preserve">§ 825.  </w:t>
      </w:r>
      <w:r>
        <w:rPr>
          <w:rFonts w:ascii="Times New Roman" w:hAnsi="Times New Roman"/>
          <w:b/>
          <w:color w:val="000000"/>
          <w:sz w:val="23"/>
        </w:rPr>
        <w:t>Presentation integrity</w:t>
      </w:r>
    </w:p>
    <w:p>
      <w:pPr>
        <w:ind w:left="432" w:hanging="432"/>
        <w:jc w:val="both"/>
      </w:pPr>
      <w:r>
        <w:rPr>
          <w:rFonts w:ascii="Times New Roman" w:hAnsi="Times New Roman"/>
          <w:b/>
          <w:sz w:val="22"/>
        </w:rPr>
        <w:t xml:space="preserve">(a)  </w:t>
      </w:r>
      <w:r>
        <w:rPr>
          <w:rFonts w:ascii="Times New Roman" w:hAnsi="Times New Roman"/>
          <w:sz w:val="22"/>
        </w:rPr>
        <w:t>A covered device shall not:</w:t>
      </w:r>
    </w:p>
    <w:p>
      <w:pPr>
        <w:ind w:left="864" w:hanging="432"/>
        <w:jc w:val="both"/>
      </w:pPr>
      <w:r>
        <w:rPr>
          <w:rFonts w:ascii="Times New Roman" w:hAnsi="Times New Roman"/>
          <w:b/>
          <w:sz w:val="22"/>
        </w:rPr>
        <w:t xml:space="preserve">(1)  </w:t>
      </w:r>
      <w:r>
        <w:rPr>
          <w:rFonts w:ascii="Times New Roman" w:hAnsi="Times New Roman"/>
          <w:sz w:val="22"/>
        </w:rPr>
        <w:t>present an outcome that is a net loss in a manner that represents it as a win, including by celebratory audio or visual feedback;</w:t>
      </w:r>
    </w:p>
    <w:p>
      <w:pPr>
        <w:ind w:left="864" w:hanging="432"/>
        <w:jc w:val="both"/>
      </w:pPr>
      <w:r>
        <w:rPr>
          <w:rFonts w:ascii="Times New Roman" w:hAnsi="Times New Roman"/>
          <w:b/>
          <w:sz w:val="22"/>
        </w:rPr>
        <w:t xml:space="preserve">(2)  </w:t>
      </w:r>
      <w:r>
        <w:rPr>
          <w:rFonts w:ascii="Times New Roman" w:hAnsi="Times New Roman"/>
          <w:sz w:val="22"/>
        </w:rPr>
        <w:t>present a losing outcome in a manner designed to appear to be a near win, including by displaying symbols adjacent to a winning combination with emphasis not applied to other losing outcomes;</w:t>
      </w:r>
    </w:p>
    <w:p>
      <w:pPr>
        <w:ind w:left="864" w:hanging="432"/>
        <w:jc w:val="both"/>
      </w:pPr>
      <w:r>
        <w:rPr>
          <w:rFonts w:ascii="Times New Roman" w:hAnsi="Times New Roman"/>
          <w:b/>
          <w:sz w:val="22"/>
        </w:rPr>
        <w:t xml:space="preserve">(3)  </w:t>
      </w:r>
      <w:r>
        <w:rPr>
          <w:rFonts w:ascii="Times New Roman" w:hAnsi="Times New Roman"/>
          <w:sz w:val="22"/>
        </w:rPr>
        <w:t>misrepresent the role of skill in determining outcome;</w:t>
      </w:r>
    </w:p>
    <w:p>
      <w:pPr>
        <w:ind w:left="864" w:hanging="432"/>
        <w:jc w:val="both"/>
      </w:pPr>
      <w:r>
        <w:rPr>
          <w:rFonts w:ascii="Times New Roman" w:hAnsi="Times New Roman"/>
          <w:b/>
          <w:sz w:val="22"/>
        </w:rPr>
        <w:t xml:space="preserve">(4)  </w:t>
      </w:r>
      <w:r>
        <w:rPr>
          <w:rFonts w:ascii="Times New Roman" w:hAnsi="Times New Roman"/>
          <w:sz w:val="22"/>
        </w:rPr>
        <w:t>represent that an award is available that the award schedule does not make available; or</w:t>
      </w:r>
    </w:p>
    <w:p>
      <w:pPr>
        <w:ind w:left="864" w:hanging="432"/>
        <w:jc w:val="both"/>
      </w:pPr>
      <w:r>
        <w:rPr>
          <w:rFonts w:ascii="Times New Roman" w:hAnsi="Times New Roman"/>
          <w:b/>
          <w:sz w:val="22"/>
        </w:rPr>
        <w:t xml:space="preserve">(5)  </w:t>
      </w:r>
      <w:r>
        <w:rPr>
          <w:rFonts w:ascii="Times New Roman" w:hAnsi="Times New Roman"/>
          <w:sz w:val="22"/>
        </w:rPr>
        <w:t>present a sequence that continues to display an outcome as undetermined after it has been determined, for a period longer than is necessary to present the outcome.</w:t>
      </w:r>
    </w:p>
    <w:p>
      <w:pPr>
        <w:spacing w:before="240"/>
        <w:pBdr>
          <w:top w:val="single" w:sz="4" w:space="6" w:color="8A8A8A"/>
        </w:pBdr>
      </w:pPr>
      <w:r>
        <w:rPr>
          <w:rFonts w:ascii="Times New Roman" w:hAnsi="Times New Roman"/>
          <w:i/>
          <w:color w:val="555555"/>
          <w:sz w:val="17"/>
        </w:rPr>
        <w:t>Basis: Pa. H.B. 2557, § 5306(a) (2026).</w:t>
      </w:r>
    </w:p>
    <w:p>
      <w:pPr>
        <w:ind w:left="432" w:hanging="432"/>
        <w:jc w:val="both"/>
      </w:pPr>
      <w:r>
        <w:rPr>
          <w:rFonts w:ascii="Times New Roman" w:hAnsi="Times New Roman"/>
          <w:b/>
          <w:sz w:val="22"/>
        </w:rPr>
        <w:t xml:space="preserve">(b)  </w:t>
      </w:r>
      <w:r>
        <w:rPr>
          <w:rFonts w:ascii="Times New Roman" w:hAnsi="Times New Roman"/>
          <w:sz w:val="22"/>
        </w:rPr>
        <w:t>Where the device presents an outcome that has been determined before the presentation begins, and the presentation permits a player action, the device shall not represent that the action affects the outcome.</w:t>
      </w:r>
    </w:p>
    <w:p>
      <w:pPr>
        <w:ind w:left="432" w:hanging="432"/>
        <w:jc w:val="both"/>
      </w:pPr>
      <w:r>
        <w:rPr>
          <w:rFonts w:ascii="Times New Roman" w:hAnsi="Times New Roman"/>
          <w:b/>
          <w:sz w:val="22"/>
        </w:rPr>
        <w:t xml:space="preserve">(c)  </w:t>
      </w:r>
      <w:r>
        <w:rPr>
          <w:rFonts w:ascii="Times New Roman" w:hAnsi="Times New Roman"/>
          <w:sz w:val="22"/>
        </w:rPr>
        <w:t>A covered device shall not present a virtual opponent without disclosing that the opponent is not a person, and shall not permit a virtual opponent to use information about the player's play that is not available to the player.</w:t>
      </w:r>
    </w:p>
    <w:p>
      <w:pPr>
        <w:spacing w:before="240"/>
        <w:pBdr>
          <w:top w:val="single" w:sz="4" w:space="6" w:color="8A8A8A"/>
        </w:pBdr>
      </w:pPr>
      <w:r>
        <w:rPr>
          <w:rFonts w:ascii="Times New Roman" w:hAnsi="Times New Roman"/>
          <w:i/>
          <w:color w:val="555555"/>
          <w:sz w:val="17"/>
        </w:rPr>
        <w:t>Basis: Ohio Admin. Code 3772-50-24 app. A, Game Outcome item 9; GLI-11 v3.0 § 4.20.5.</w:t>
      </w:r>
    </w:p>
    <w:p>
      <w:r>
        <w:br w:type="page"/>
      </w:r>
    </w:p>
    <w:p>
      <w:pPr>
        <w:spacing w:after="40"/>
      </w:pPr>
      <w:r>
        <w:rPr>
          <w:rFonts w:ascii="Calibri" w:hAnsi="Calibri"/>
          <w:b/>
          <w:color w:val="143C46"/>
          <w:sz w:val="18"/>
        </w:rPr>
        <w:t>PART 830</w:t>
      </w:r>
    </w:p>
    <w:p>
      <w:pPr>
        <w:pStyle w:val="Heading1"/>
        <w:spacing w:before="0"/>
        <w:pBdr>
          <w:bottom w:val="single" w:sz="8" w:space="6" w:color="143C46"/>
        </w:pBdr>
      </w:pPr>
      <w:r>
        <w:rPr>
          <w:rFonts w:ascii="Times New Roman" w:hAnsi="Times New Roman"/>
          <w:b/>
          <w:color w:val="000000"/>
          <w:sz w:val="30"/>
        </w:rPr>
        <w:t>Age, Identity, Limit, and Exclusion Enforcement</w:t>
      </w:r>
    </w:p>
    <w:p>
      <w:pPr>
        <w:pStyle w:val="Heading2"/>
      </w:pPr>
      <w:r>
        <w:rPr>
          <w:rFonts w:ascii="Times New Roman" w:hAnsi="Times New Roman"/>
          <w:b/>
          <w:color w:val="143C46"/>
          <w:sz w:val="23"/>
        </w:rPr>
        <w:t xml:space="preserve">§ 831.  </w:t>
      </w:r>
      <w:r>
        <w:rPr>
          <w:rFonts w:ascii="Times New Roman" w:hAnsi="Times New Roman"/>
          <w:b/>
          <w:color w:val="000000"/>
          <w:sz w:val="23"/>
        </w:rPr>
        <w:t>Verification before play</w:t>
      </w:r>
    </w:p>
    <w:p>
      <w:pPr>
        <w:ind w:left="432" w:hanging="432"/>
        <w:jc w:val="both"/>
      </w:pPr>
      <w:r>
        <w:rPr>
          <w:rFonts w:ascii="Times New Roman" w:hAnsi="Times New Roman"/>
          <w:b/>
          <w:sz w:val="22"/>
        </w:rPr>
        <w:t xml:space="preserve">(a)  </w:t>
      </w:r>
      <w:r>
        <w:rPr>
          <w:rFonts w:ascii="Times New Roman" w:hAnsi="Times New Roman"/>
          <w:sz w:val="22"/>
        </w:rPr>
        <w:t>A covered device shall not accept consideration until age has been verified by one of the methods in SBCGS-M § 401(b).</w:t>
      </w:r>
    </w:p>
    <w:p>
      <w:pPr>
        <w:ind w:left="432" w:hanging="432"/>
        <w:jc w:val="both"/>
      </w:pPr>
      <w:r>
        <w:rPr>
          <w:rFonts w:ascii="Times New Roman" w:hAnsi="Times New Roman"/>
          <w:b/>
          <w:sz w:val="22"/>
        </w:rPr>
        <w:t xml:space="preserve">(b)  </w:t>
      </w:r>
      <w:r>
        <w:rPr>
          <w:rFonts w:ascii="Times New Roman" w:hAnsi="Times New Roman"/>
          <w:sz w:val="22"/>
        </w:rPr>
        <w:t>Where verification is performed by reading an identification document, the device shall evaluate the document for validity and shall not accept a document that has expired.</w:t>
      </w:r>
    </w:p>
    <w:p>
      <w:pPr>
        <w:ind w:left="432" w:hanging="432"/>
        <w:jc w:val="both"/>
      </w:pPr>
      <w:r>
        <w:rPr>
          <w:rFonts w:ascii="Times New Roman" w:hAnsi="Times New Roman"/>
          <w:b/>
          <w:sz w:val="22"/>
        </w:rPr>
        <w:t xml:space="preserve">(c)  </w:t>
      </w:r>
      <w:r>
        <w:rPr>
          <w:rFonts w:ascii="Times New Roman" w:hAnsi="Times New Roman"/>
          <w:sz w:val="22"/>
        </w:rPr>
        <w:t>The device shall not retain an image of an identification document beyond the period necessary to perform the verification and to record the result, and shall record the result without retaining the document number where the jurisdiction permits.</w:t>
      </w:r>
    </w:p>
    <w:p>
      <w:pPr>
        <w:ind w:left="432" w:hanging="432"/>
        <w:jc w:val="both"/>
      </w:pPr>
      <w:r>
        <w:rPr>
          <w:rFonts w:ascii="Times New Roman" w:hAnsi="Times New Roman"/>
          <w:b/>
          <w:sz w:val="22"/>
        </w:rPr>
        <w:t xml:space="preserve">(d)  </w:t>
      </w:r>
      <w:r>
        <w:rPr>
          <w:rFonts w:ascii="Times New Roman" w:hAnsi="Times New Roman"/>
          <w:sz w:val="22"/>
        </w:rPr>
        <w:t>Where a jurisdiction permits limited anonymous play, the device shall enforce each condition in SBCGS-M § 401(d), shall meter sessions conducted under that subsection, and shall refuse anonymous play once the proportion in SBCGS-M § 401(d)(4) is reached.</w:t>
      </w:r>
    </w:p>
    <w:p>
      <w:pPr>
        <w:spacing w:before="240"/>
        <w:pBdr>
          <w:top w:val="single" w:sz="4" w:space="6" w:color="8A8A8A"/>
        </w:pBdr>
      </w:pPr>
      <w:r>
        <w:rPr>
          <w:rFonts w:ascii="Times New Roman" w:hAnsi="Times New Roman"/>
          <w:i/>
          <w:color w:val="555555"/>
          <w:sz w:val="17"/>
        </w:rPr>
        <w:t>Basis: Pa. H.B. 2557, § 5303 (2026).</w:t>
      </w:r>
    </w:p>
    <w:p>
      <w:pPr>
        <w:pStyle w:val="Heading2"/>
      </w:pPr>
      <w:r>
        <w:rPr>
          <w:rFonts w:ascii="Times New Roman" w:hAnsi="Times New Roman"/>
          <w:b/>
          <w:color w:val="143C46"/>
          <w:sz w:val="23"/>
        </w:rPr>
        <w:t xml:space="preserve">§ 832.  </w:t>
      </w:r>
      <w:r>
        <w:rPr>
          <w:rFonts w:ascii="Times New Roman" w:hAnsi="Times New Roman"/>
          <w:b/>
          <w:color w:val="000000"/>
          <w:sz w:val="23"/>
        </w:rPr>
        <w:t>Exclusion enforcement</w:t>
      </w:r>
    </w:p>
    <w:p>
      <w:pPr>
        <w:ind w:left="432" w:hanging="432"/>
        <w:jc w:val="both"/>
      </w:pPr>
      <w:r>
        <w:rPr>
          <w:rFonts w:ascii="Times New Roman" w:hAnsi="Times New Roman"/>
          <w:b/>
          <w:sz w:val="22"/>
        </w:rPr>
        <w:t xml:space="preserve">(a)  </w:t>
      </w:r>
      <w:r>
        <w:rPr>
          <w:rFonts w:ascii="Times New Roman" w:hAnsi="Times New Roman"/>
          <w:sz w:val="22"/>
        </w:rPr>
        <w:t>A covered device shall evaluate the identity established under § 831 against exclusion data before accepting consideration, and shall refuse play where the person is excluded.</w:t>
      </w:r>
    </w:p>
    <w:p>
      <w:pPr>
        <w:ind w:left="432" w:hanging="432"/>
        <w:jc w:val="both"/>
      </w:pPr>
      <w:r>
        <w:rPr>
          <w:rFonts w:ascii="Times New Roman" w:hAnsi="Times New Roman"/>
          <w:b/>
          <w:sz w:val="22"/>
        </w:rPr>
        <w:t xml:space="preserve">(b)  </w:t>
      </w:r>
      <w:r>
        <w:rPr>
          <w:rFonts w:ascii="Times New Roman" w:hAnsi="Times New Roman"/>
          <w:sz w:val="22"/>
        </w:rPr>
        <w:t>The device shall refuse play without displaying to any other person the reason for the refusal, and shall record the event under § 862.</w:t>
      </w:r>
    </w:p>
    <w:p>
      <w:pPr>
        <w:ind w:left="432" w:hanging="432"/>
        <w:jc w:val="both"/>
      </w:pPr>
      <w:r>
        <w:rPr>
          <w:rFonts w:ascii="Times New Roman" w:hAnsi="Times New Roman"/>
          <w:b/>
          <w:sz w:val="22"/>
        </w:rPr>
        <w:t xml:space="preserve">(c)  </w:t>
      </w:r>
      <w:r>
        <w:rPr>
          <w:rFonts w:ascii="Times New Roman" w:hAnsi="Times New Roman"/>
          <w:sz w:val="22"/>
        </w:rPr>
        <w:t>Exclusion data shall be current as of the most recent successful communication with the monitoring system, and § 805 applies where the data cannot be evaluated.</w:t>
      </w:r>
    </w:p>
    <w:p>
      <w:pPr>
        <w:ind w:left="432" w:hanging="432"/>
        <w:jc w:val="both"/>
      </w:pPr>
      <w:r>
        <w:rPr>
          <w:rFonts w:ascii="Times New Roman" w:hAnsi="Times New Roman"/>
          <w:b/>
          <w:sz w:val="22"/>
        </w:rPr>
        <w:t xml:space="preserve">(d)  </w:t>
      </w:r>
      <w:r>
        <w:rPr>
          <w:rFonts w:ascii="Times New Roman" w:hAnsi="Times New Roman"/>
          <w:sz w:val="22"/>
        </w:rPr>
        <w:t>A covered device shall permit an excluded person to redeem a balance held at the device.</w:t>
      </w:r>
    </w:p>
    <w:p>
      <w:pPr>
        <w:ind w:left="432" w:hanging="432"/>
        <w:jc w:val="both"/>
      </w:pPr>
      <w:r>
        <w:rPr>
          <w:rFonts w:ascii="Times New Roman" w:hAnsi="Times New Roman"/>
          <w:b/>
          <w:sz w:val="22"/>
        </w:rPr>
        <w:t xml:space="preserve">(e)  </w:t>
      </w:r>
      <w:r>
        <w:rPr>
          <w:rFonts w:ascii="Times New Roman" w:hAnsi="Times New Roman"/>
          <w:sz w:val="22"/>
        </w:rPr>
        <w:t>A covered device shall support enrollment in the exclusion program at the device, as required by SBCGS-M § 301(a)(1), shall transmit the enrollment to the monitoring system before the player leaves the device, and shall confirm transmission to the player.</w:t>
      </w:r>
    </w:p>
    <w:p>
      <w:pPr>
        <w:pStyle w:val="Heading2"/>
      </w:pPr>
      <w:r>
        <w:rPr>
          <w:rFonts w:ascii="Times New Roman" w:hAnsi="Times New Roman"/>
          <w:b/>
          <w:color w:val="143C46"/>
          <w:sz w:val="23"/>
        </w:rPr>
        <w:t xml:space="preserve">§ 833.  </w:t>
      </w:r>
      <w:r>
        <w:rPr>
          <w:rFonts w:ascii="Times New Roman" w:hAnsi="Times New Roman"/>
          <w:b/>
          <w:color w:val="000000"/>
          <w:sz w:val="23"/>
        </w:rPr>
        <w:t>Limit enforcement</w:t>
      </w:r>
    </w:p>
    <w:p>
      <w:pPr>
        <w:ind w:left="432" w:hanging="432"/>
        <w:jc w:val="both"/>
      </w:pPr>
      <w:r>
        <w:rPr>
          <w:rFonts w:ascii="Times New Roman" w:hAnsi="Times New Roman"/>
          <w:b/>
          <w:sz w:val="22"/>
        </w:rPr>
        <w:t xml:space="preserve">(a)  </w:t>
      </w:r>
      <w:r>
        <w:rPr>
          <w:rFonts w:ascii="Times New Roman" w:hAnsi="Times New Roman"/>
          <w:sz w:val="22"/>
        </w:rPr>
        <w:t>A covered device shall enforce the limit set under SBCGS-M § 302 at the point at which consideration is committed, and shall refuse the commitment where accepting it would cause the limit to be exceeded.</w:t>
      </w:r>
    </w:p>
    <w:p>
      <w:pPr>
        <w:ind w:left="432" w:hanging="432"/>
        <w:jc w:val="both"/>
      </w:pPr>
      <w:r>
        <w:rPr>
          <w:rFonts w:ascii="Times New Roman" w:hAnsi="Times New Roman"/>
          <w:b/>
          <w:sz w:val="22"/>
        </w:rPr>
        <w:t xml:space="preserve">(b)  </w:t>
      </w:r>
      <w:r>
        <w:rPr>
          <w:rFonts w:ascii="Times New Roman" w:hAnsi="Times New Roman"/>
          <w:sz w:val="22"/>
        </w:rPr>
        <w:t>The device shall inform the player which limit caused the refusal and the amount remaining under it.</w:t>
      </w:r>
    </w:p>
    <w:p>
      <w:pPr>
        <w:ind w:left="432" w:hanging="432"/>
        <w:jc w:val="both"/>
      </w:pPr>
      <w:r>
        <w:rPr>
          <w:rFonts w:ascii="Times New Roman" w:hAnsi="Times New Roman"/>
          <w:b/>
          <w:sz w:val="22"/>
        </w:rPr>
        <w:t xml:space="preserve">(c)  </w:t>
      </w:r>
      <w:r>
        <w:rPr>
          <w:rFonts w:ascii="Times New Roman" w:hAnsi="Times New Roman"/>
          <w:sz w:val="22"/>
        </w:rPr>
        <w:t>A decrease in a limit shall take effect immediately. An increase shall take effect only after the period of the existing limit has expired and the player has reaffirmed the increase after that expiry.</w:t>
      </w:r>
    </w:p>
    <w:p>
      <w:pPr>
        <w:ind w:left="432" w:hanging="432"/>
        <w:jc w:val="both"/>
      </w:pPr>
      <w:r>
        <w:rPr>
          <w:rFonts w:ascii="Times New Roman" w:hAnsi="Times New Roman"/>
          <w:b/>
          <w:sz w:val="22"/>
        </w:rPr>
        <w:t xml:space="preserve">(d)  </w:t>
      </w:r>
      <w:r>
        <w:rPr>
          <w:rFonts w:ascii="Times New Roman" w:hAnsi="Times New Roman"/>
          <w:sz w:val="22"/>
        </w:rPr>
        <w:t>The device shall not permit a limit to be overridden by an employee of the covered operator or of the host location.</w:t>
      </w:r>
    </w:p>
    <w:p>
      <w:pPr>
        <w:ind w:left="432" w:hanging="432"/>
        <w:jc w:val="both"/>
      </w:pPr>
      <w:r>
        <w:rPr>
          <w:rFonts w:ascii="Times New Roman" w:hAnsi="Times New Roman"/>
          <w:b/>
          <w:sz w:val="22"/>
        </w:rPr>
        <w:t xml:space="preserve">(e)  </w:t>
      </w:r>
      <w:r>
        <w:rPr>
          <w:rFonts w:ascii="Times New Roman" w:hAnsi="Times New Roman"/>
          <w:sz w:val="22"/>
        </w:rPr>
        <w:t>Where a player has set limits of differing durations, the device shall apply the most restrictive applicable limit.</w:t>
      </w:r>
    </w:p>
    <w:p>
      <w:pPr>
        <w:pStyle w:val="Heading2"/>
      </w:pPr>
      <w:r>
        <w:rPr>
          <w:rFonts w:ascii="Times New Roman" w:hAnsi="Times New Roman"/>
          <w:b/>
          <w:color w:val="143C46"/>
          <w:sz w:val="23"/>
        </w:rPr>
        <w:t xml:space="preserve">§ 834.  </w:t>
      </w:r>
      <w:r>
        <w:rPr>
          <w:rFonts w:ascii="Times New Roman" w:hAnsi="Times New Roman"/>
          <w:b/>
          <w:color w:val="000000"/>
          <w:sz w:val="23"/>
        </w:rPr>
        <w:t>Session pacing</w:t>
      </w:r>
    </w:p>
    <w:p>
      <w:pPr>
        <w:ind w:left="432" w:hanging="432"/>
        <w:jc w:val="both"/>
      </w:pPr>
      <w:r>
        <w:rPr>
          <w:rFonts w:ascii="Times New Roman" w:hAnsi="Times New Roman"/>
          <w:b/>
          <w:sz w:val="22"/>
        </w:rPr>
        <w:t xml:space="preserve">(a)  </w:t>
      </w:r>
      <w:r>
        <w:rPr>
          <w:rFonts w:ascii="Times New Roman" w:hAnsi="Times New Roman"/>
          <w:sz w:val="22"/>
        </w:rPr>
        <w:t>A covered device shall not accept consideration for a further play within five seconds of the commencement of the preceding play.</w:t>
      </w:r>
    </w:p>
    <w:p>
      <w:pPr>
        <w:ind w:left="432" w:hanging="432"/>
        <w:jc w:val="both"/>
      </w:pPr>
      <w:r>
        <w:rPr>
          <w:rFonts w:ascii="Times New Roman" w:hAnsi="Times New Roman"/>
          <w:b/>
          <w:sz w:val="22"/>
        </w:rPr>
        <w:t xml:space="preserve">(b)  </w:t>
      </w:r>
      <w:r>
        <w:rPr>
          <w:rFonts w:ascii="Times New Roman" w:hAnsi="Times New Roman"/>
          <w:sz w:val="22"/>
        </w:rPr>
        <w:t>A covered device shall suspend play for not less than thirty seconds after fifteen minutes of continuous play in a session, shall display the information required by § 822(b) during the suspension, and shall require a player action to resume.</w:t>
      </w:r>
    </w:p>
    <w:p>
      <w:pPr>
        <w:ind w:left="432" w:hanging="432"/>
        <w:jc w:val="both"/>
      </w:pPr>
      <w:r>
        <w:rPr>
          <w:rFonts w:ascii="Times New Roman" w:hAnsi="Times New Roman"/>
          <w:b/>
          <w:sz w:val="22"/>
        </w:rPr>
        <w:t xml:space="preserve">(c)  </w:t>
      </w:r>
      <w:r>
        <w:rPr>
          <w:rFonts w:ascii="Times New Roman" w:hAnsi="Times New Roman"/>
          <w:sz w:val="22"/>
        </w:rPr>
        <w:t>The device shall determine the end of a session as defined in SBCGS-M § 203 and shall record the session under § 861.</w:t>
      </w:r>
    </w:p>
    <w:p>
      <w:pPr>
        <w:ind w:left="432" w:hanging="432"/>
        <w:jc w:val="both"/>
      </w:pPr>
      <w:r>
        <w:rPr>
          <w:rFonts w:ascii="Times New Roman" w:hAnsi="Times New Roman"/>
          <w:b/>
          <w:sz w:val="22"/>
        </w:rPr>
        <w:t xml:space="preserve">(d)  </w:t>
      </w:r>
      <w:r>
        <w:rPr>
          <w:rFonts w:ascii="Times New Roman" w:hAnsi="Times New Roman"/>
          <w:sz w:val="22"/>
        </w:rPr>
        <w:t>A covered device shall not accept a credit card, a debit card, or an instrument drawn on a line of credit.</w:t>
      </w:r>
    </w:p>
    <w:p>
      <w:pPr>
        <w:spacing w:before="240"/>
        <w:pBdr>
          <w:top w:val="single" w:sz="4" w:space="6" w:color="8A8A8A"/>
        </w:pBdr>
      </w:pPr>
      <w:r>
        <w:rPr>
          <w:rFonts w:ascii="Times New Roman" w:hAnsi="Times New Roman"/>
          <w:i/>
          <w:color w:val="555555"/>
          <w:sz w:val="17"/>
        </w:rPr>
        <w:t>Basis: Pa. H.B. 2557, § 5304(a), (b), and (f) (2026).</w:t>
      </w:r>
    </w:p>
    <w:p>
      <w:r>
        <w:br w:type="page"/>
      </w:r>
    </w:p>
    <w:p>
      <w:pPr>
        <w:spacing w:after="40"/>
      </w:pPr>
      <w:r>
        <w:rPr>
          <w:rFonts w:ascii="Calibri" w:hAnsi="Calibri"/>
          <w:b/>
          <w:color w:val="143C46"/>
          <w:sz w:val="18"/>
        </w:rPr>
        <w:t>PART 840</w:t>
      </w:r>
    </w:p>
    <w:p>
      <w:pPr>
        <w:pStyle w:val="Heading1"/>
        <w:spacing w:before="0"/>
        <w:pBdr>
          <w:bottom w:val="single" w:sz="8" w:space="6" w:color="143C46"/>
        </w:pBdr>
      </w:pPr>
      <w:r>
        <w:rPr>
          <w:rFonts w:ascii="Times New Roman" w:hAnsi="Times New Roman"/>
          <w:b/>
          <w:color w:val="000000"/>
          <w:sz w:val="30"/>
        </w:rPr>
        <w:t>Accounting and Metering</w:t>
      </w:r>
    </w:p>
    <w:p>
      <w:pPr>
        <w:pStyle w:val="Heading2"/>
      </w:pPr>
      <w:r>
        <w:rPr>
          <w:rFonts w:ascii="Times New Roman" w:hAnsi="Times New Roman"/>
          <w:b/>
          <w:color w:val="143C46"/>
          <w:sz w:val="23"/>
        </w:rPr>
        <w:t xml:space="preserve">§ 841.  </w:t>
      </w:r>
      <w:r>
        <w:rPr>
          <w:rFonts w:ascii="Times New Roman" w:hAnsi="Times New Roman"/>
          <w:b/>
          <w:color w:val="000000"/>
          <w:sz w:val="23"/>
        </w:rPr>
        <w:t>Meters</w:t>
      </w:r>
    </w:p>
    <w:p>
      <w:pPr>
        <w:ind w:left="432" w:hanging="432"/>
        <w:jc w:val="both"/>
      </w:pPr>
      <w:r>
        <w:rPr>
          <w:rFonts w:ascii="Times New Roman" w:hAnsi="Times New Roman"/>
          <w:b/>
          <w:sz w:val="22"/>
        </w:rPr>
        <w:t xml:space="preserve">(a)  </w:t>
      </w:r>
      <w:r>
        <w:rPr>
          <w:rFonts w:ascii="Times New Roman" w:hAnsi="Times New Roman"/>
          <w:sz w:val="22"/>
        </w:rPr>
        <w:t>A covered device shall maintain cumulative meters, not resettable except as provided in subsection (d), for at least:</w:t>
      </w:r>
    </w:p>
    <w:p>
      <w:pPr>
        <w:ind w:left="864" w:hanging="432"/>
        <w:jc w:val="both"/>
      </w:pPr>
      <w:r>
        <w:rPr>
          <w:rFonts w:ascii="Times New Roman" w:hAnsi="Times New Roman"/>
          <w:b/>
          <w:sz w:val="22"/>
        </w:rPr>
        <w:t xml:space="preserve">(1)  </w:t>
      </w:r>
      <w:r>
        <w:rPr>
          <w:rFonts w:ascii="Times New Roman" w:hAnsi="Times New Roman"/>
          <w:sz w:val="22"/>
        </w:rPr>
        <w:t>amount committed;</w:t>
      </w:r>
    </w:p>
    <w:p>
      <w:pPr>
        <w:ind w:left="864" w:hanging="432"/>
        <w:jc w:val="both"/>
      </w:pPr>
      <w:r>
        <w:rPr>
          <w:rFonts w:ascii="Times New Roman" w:hAnsi="Times New Roman"/>
          <w:b/>
          <w:sz w:val="22"/>
        </w:rPr>
        <w:t xml:space="preserve">(2)  </w:t>
      </w:r>
      <w:r>
        <w:rPr>
          <w:rFonts w:ascii="Times New Roman" w:hAnsi="Times New Roman"/>
          <w:sz w:val="22"/>
        </w:rPr>
        <w:t>value of awards;</w:t>
      </w:r>
    </w:p>
    <w:p>
      <w:pPr>
        <w:ind w:left="864" w:hanging="432"/>
        <w:jc w:val="both"/>
      </w:pPr>
      <w:r>
        <w:rPr>
          <w:rFonts w:ascii="Times New Roman" w:hAnsi="Times New Roman"/>
          <w:b/>
          <w:sz w:val="22"/>
        </w:rPr>
        <w:t xml:space="preserve">(3)  </w:t>
      </w:r>
      <w:r>
        <w:rPr>
          <w:rFonts w:ascii="Times New Roman" w:hAnsi="Times New Roman"/>
          <w:sz w:val="22"/>
        </w:rPr>
        <w:t>number of plays;</w:t>
      </w:r>
    </w:p>
    <w:p>
      <w:pPr>
        <w:ind w:left="864" w:hanging="432"/>
        <w:jc w:val="both"/>
      </w:pPr>
      <w:r>
        <w:rPr>
          <w:rFonts w:ascii="Times New Roman" w:hAnsi="Times New Roman"/>
          <w:b/>
          <w:sz w:val="22"/>
        </w:rPr>
        <w:t xml:space="preserve">(4)  </w:t>
      </w:r>
      <w:r>
        <w:rPr>
          <w:rFonts w:ascii="Times New Roman" w:hAnsi="Times New Roman"/>
          <w:sz w:val="22"/>
        </w:rPr>
        <w:t>value in and value out by each means of transfer;</w:t>
      </w:r>
    </w:p>
    <w:p>
      <w:pPr>
        <w:ind w:left="864" w:hanging="432"/>
        <w:jc w:val="both"/>
      </w:pPr>
      <w:r>
        <w:rPr>
          <w:rFonts w:ascii="Times New Roman" w:hAnsi="Times New Roman"/>
          <w:b/>
          <w:sz w:val="22"/>
        </w:rPr>
        <w:t xml:space="preserve">(5)  </w:t>
      </w:r>
      <w:r>
        <w:rPr>
          <w:rFonts w:ascii="Times New Roman" w:hAnsi="Times New Roman"/>
          <w:sz w:val="22"/>
        </w:rPr>
        <w:t>skill events available, initiated, and completed, under § 816(c);</w:t>
      </w:r>
    </w:p>
    <w:p>
      <w:pPr>
        <w:ind w:left="864" w:hanging="432"/>
        <w:jc w:val="both"/>
      </w:pPr>
      <w:r>
        <w:rPr>
          <w:rFonts w:ascii="Times New Roman" w:hAnsi="Times New Roman"/>
          <w:b/>
          <w:sz w:val="22"/>
        </w:rPr>
        <w:t xml:space="preserve">(6)  </w:t>
      </w:r>
      <w:r>
        <w:rPr>
          <w:rFonts w:ascii="Times New Roman" w:hAnsi="Times New Roman"/>
          <w:sz w:val="22"/>
        </w:rPr>
        <w:t>sessions commenced, and sessions conducted under SBCGS-M § 401(d);</w:t>
      </w:r>
    </w:p>
    <w:p>
      <w:pPr>
        <w:ind w:left="864" w:hanging="432"/>
        <w:jc w:val="both"/>
      </w:pPr>
      <w:r>
        <w:rPr>
          <w:rFonts w:ascii="Times New Roman" w:hAnsi="Times New Roman"/>
          <w:b/>
          <w:sz w:val="22"/>
        </w:rPr>
        <w:t xml:space="preserve">(7)  </w:t>
      </w:r>
      <w:r>
        <w:rPr>
          <w:rFonts w:ascii="Times New Roman" w:hAnsi="Times New Roman"/>
          <w:sz w:val="22"/>
        </w:rPr>
        <w:t>commitments refused by a limit under § 833 and by an exclusion under § 832; and</w:t>
      </w:r>
    </w:p>
    <w:p>
      <w:pPr>
        <w:ind w:left="864" w:hanging="432"/>
        <w:jc w:val="both"/>
      </w:pPr>
      <w:r>
        <w:rPr>
          <w:rFonts w:ascii="Times New Roman" w:hAnsi="Times New Roman"/>
          <w:b/>
          <w:sz w:val="22"/>
        </w:rPr>
        <w:t xml:space="preserve">(8)  </w:t>
      </w:r>
      <w:r>
        <w:rPr>
          <w:rFonts w:ascii="Times New Roman" w:hAnsi="Times New Roman"/>
          <w:sz w:val="22"/>
        </w:rPr>
        <w:t>door openings, power interruptions, and configuration changes.</w:t>
      </w:r>
    </w:p>
    <w:p>
      <w:pPr>
        <w:ind w:left="432" w:hanging="432"/>
        <w:jc w:val="both"/>
      </w:pPr>
      <w:r>
        <w:rPr>
          <w:rFonts w:ascii="Times New Roman" w:hAnsi="Times New Roman"/>
          <w:b/>
          <w:sz w:val="22"/>
        </w:rPr>
        <w:t xml:space="preserve">(b)  </w:t>
      </w:r>
      <w:r>
        <w:rPr>
          <w:rFonts w:ascii="Times New Roman" w:hAnsi="Times New Roman"/>
          <w:sz w:val="22"/>
        </w:rPr>
        <w:t>A meter shall be maintained in critical memory, shall be of sufficient width that it does not roll over within the life of the device, and shall record a rollover where one occurs.</w:t>
      </w:r>
    </w:p>
    <w:p>
      <w:pPr>
        <w:ind w:left="432" w:hanging="432"/>
        <w:jc w:val="both"/>
      </w:pPr>
      <w:r>
        <w:rPr>
          <w:rFonts w:ascii="Times New Roman" w:hAnsi="Times New Roman"/>
          <w:b/>
          <w:sz w:val="22"/>
        </w:rPr>
        <w:t xml:space="preserve">(c)  </w:t>
      </w:r>
      <w:r>
        <w:rPr>
          <w:rFonts w:ascii="Times New Roman" w:hAnsi="Times New Roman"/>
          <w:sz w:val="22"/>
        </w:rPr>
        <w:t>A meter shall be displayable without opening the cabinet and shall be transmitted to the monitoring system.</w:t>
      </w:r>
    </w:p>
    <w:p>
      <w:pPr>
        <w:ind w:left="432" w:hanging="432"/>
        <w:jc w:val="both"/>
      </w:pPr>
      <w:r>
        <w:rPr>
          <w:rFonts w:ascii="Times New Roman" w:hAnsi="Times New Roman"/>
          <w:b/>
          <w:sz w:val="22"/>
        </w:rPr>
        <w:t xml:space="preserve">(d)  </w:t>
      </w:r>
      <w:r>
        <w:rPr>
          <w:rFonts w:ascii="Times New Roman" w:hAnsi="Times New Roman"/>
          <w:sz w:val="22"/>
        </w:rPr>
        <w:t>A meter shall not be reset except by a documented procedure that records the prior value, the new value, the individual, and the authorization.</w:t>
      </w:r>
    </w:p>
    <w:p>
      <w:pPr>
        <w:spacing w:before="240"/>
        <w:pBdr>
          <w:top w:val="single" w:sz="4" w:space="6" w:color="8A8A8A"/>
        </w:pBdr>
      </w:pPr>
      <w:r>
        <w:rPr>
          <w:rFonts w:ascii="Times New Roman" w:hAnsi="Times New Roman"/>
          <w:i/>
          <w:color w:val="555555"/>
          <w:sz w:val="17"/>
        </w:rPr>
        <w:t>Basis: 25 C.F.R. § 547.9; Minn. R. 7864.0235; Ohio Admin. Code 3772-50-24 app. A, Game Accounting.</w:t>
      </w:r>
    </w:p>
    <w:p>
      <w:pPr>
        <w:pStyle w:val="Heading2"/>
      </w:pPr>
      <w:r>
        <w:rPr>
          <w:rFonts w:ascii="Times New Roman" w:hAnsi="Times New Roman"/>
          <w:b/>
          <w:color w:val="143C46"/>
          <w:sz w:val="23"/>
        </w:rPr>
        <w:t xml:space="preserve">§ 842.  </w:t>
      </w:r>
      <w:r>
        <w:rPr>
          <w:rFonts w:ascii="Times New Roman" w:hAnsi="Times New Roman"/>
          <w:b/>
          <w:color w:val="000000"/>
          <w:sz w:val="23"/>
        </w:rPr>
        <w:t>Awards and redemption</w:t>
      </w:r>
    </w:p>
    <w:p>
      <w:pPr>
        <w:ind w:left="432" w:hanging="432"/>
        <w:jc w:val="both"/>
      </w:pPr>
      <w:r>
        <w:rPr>
          <w:rFonts w:ascii="Times New Roman" w:hAnsi="Times New Roman"/>
          <w:b/>
          <w:sz w:val="22"/>
        </w:rPr>
        <w:t xml:space="preserve">(a)  </w:t>
      </w:r>
      <w:r>
        <w:rPr>
          <w:rFonts w:ascii="Times New Roman" w:hAnsi="Times New Roman"/>
          <w:sz w:val="22"/>
        </w:rPr>
        <w:t>A covered device shall not dispense cash.</w:t>
      </w:r>
    </w:p>
    <w:p>
      <w:pPr>
        <w:ind w:left="432" w:hanging="432"/>
        <w:jc w:val="both"/>
      </w:pPr>
      <w:r>
        <w:rPr>
          <w:rFonts w:ascii="Times New Roman" w:hAnsi="Times New Roman"/>
          <w:b/>
          <w:sz w:val="22"/>
        </w:rPr>
        <w:t xml:space="preserve">(b)  </w:t>
      </w:r>
      <w:r>
        <w:rPr>
          <w:rFonts w:ascii="Times New Roman" w:hAnsi="Times New Roman"/>
          <w:sz w:val="22"/>
        </w:rPr>
        <w:t>An award shall be delivered by a ticket, voucher, or electronic record that identifies the device, the date and time, the value, and a unique identifier, and that is validated against the monitoring system before redemption.</w:t>
      </w:r>
    </w:p>
    <w:p>
      <w:pPr>
        <w:ind w:left="432" w:hanging="432"/>
        <w:jc w:val="both"/>
      </w:pPr>
      <w:r>
        <w:rPr>
          <w:rFonts w:ascii="Times New Roman" w:hAnsi="Times New Roman"/>
          <w:b/>
          <w:sz w:val="22"/>
        </w:rPr>
        <w:t xml:space="preserve">(c)  </w:t>
      </w:r>
      <w:r>
        <w:rPr>
          <w:rFonts w:ascii="Times New Roman" w:hAnsi="Times New Roman"/>
          <w:sz w:val="22"/>
        </w:rPr>
        <w:t>A covered device shall not permit a balance to be transferred to another device except through the monitoring system, and shall record each transfer.</w:t>
      </w:r>
    </w:p>
    <w:p>
      <w:pPr>
        <w:ind w:left="432" w:hanging="432"/>
        <w:jc w:val="both"/>
      </w:pPr>
      <w:r>
        <w:rPr>
          <w:rFonts w:ascii="Times New Roman" w:hAnsi="Times New Roman"/>
          <w:b/>
          <w:sz w:val="22"/>
        </w:rPr>
        <w:t xml:space="preserve">(d)  </w:t>
      </w:r>
      <w:r>
        <w:rPr>
          <w:rFonts w:ascii="Times New Roman" w:hAnsi="Times New Roman"/>
          <w:sz w:val="22"/>
        </w:rPr>
        <w:t>A covered device shall permit a player to redeem the entire balance at any time in the idle state.</w:t>
      </w:r>
    </w:p>
    <w:p>
      <w:pPr>
        <w:ind w:left="432" w:hanging="432"/>
        <w:jc w:val="both"/>
      </w:pPr>
      <w:r>
        <w:rPr>
          <w:rFonts w:ascii="Times New Roman" w:hAnsi="Times New Roman"/>
          <w:b/>
          <w:sz w:val="22"/>
        </w:rPr>
        <w:t xml:space="preserve">(e)  </w:t>
      </w:r>
      <w:r>
        <w:rPr>
          <w:rFonts w:ascii="Times New Roman" w:hAnsi="Times New Roman"/>
          <w:sz w:val="22"/>
        </w:rPr>
        <w:t>Where a device permits a balance to be applied to further play, it shall permit the player to decline before the balance is applied, and shall record the election.</w:t>
      </w:r>
    </w:p>
    <w:p>
      <w:pPr>
        <w:spacing w:before="240"/>
        <w:pBdr>
          <w:top w:val="single" w:sz="4" w:space="6" w:color="8A8A8A"/>
        </w:pBdr>
      </w:pPr>
      <w:r>
        <w:rPr>
          <w:rFonts w:ascii="Times New Roman" w:hAnsi="Times New Roman"/>
          <w:i/>
          <w:color w:val="555555"/>
          <w:sz w:val="17"/>
        </w:rPr>
        <w:t>Basis: Ohio Admin. Code 3772-50-24 app. A, Game Accounting item 2; Pa. H.B. 2557, § 5302(b)(4) (2026).</w:t>
      </w:r>
    </w:p>
    <w:p>
      <w:pPr>
        <w:pStyle w:val="Heading2"/>
      </w:pPr>
      <w:r>
        <w:rPr>
          <w:rFonts w:ascii="Times New Roman" w:hAnsi="Times New Roman"/>
          <w:b/>
          <w:color w:val="143C46"/>
          <w:sz w:val="23"/>
        </w:rPr>
        <w:t xml:space="preserve">§ 843.  </w:t>
      </w:r>
      <w:r>
        <w:rPr>
          <w:rFonts w:ascii="Times New Roman" w:hAnsi="Times New Roman"/>
          <w:b/>
          <w:color w:val="000000"/>
          <w:sz w:val="23"/>
        </w:rPr>
        <w:t>Computation of revenue and yield</w:t>
      </w:r>
    </w:p>
    <w:p>
      <w:pPr>
        <w:ind w:left="432" w:hanging="432"/>
        <w:jc w:val="both"/>
      </w:pPr>
      <w:r>
        <w:rPr>
          <w:rFonts w:ascii="Times New Roman" w:hAnsi="Times New Roman"/>
          <w:b/>
          <w:sz w:val="22"/>
        </w:rPr>
        <w:t xml:space="preserve">(a)  </w:t>
      </w:r>
      <w:r>
        <w:rPr>
          <w:rFonts w:ascii="Times New Roman" w:hAnsi="Times New Roman"/>
          <w:sz w:val="22"/>
        </w:rPr>
        <w:t>The monitoring system shall compute, for each covered device, each product, each host location, and each licensed organization, for any period:</w:t>
      </w:r>
    </w:p>
    <w:p>
      <w:pPr>
        <w:ind w:left="864" w:hanging="432"/>
        <w:jc w:val="both"/>
      </w:pPr>
      <w:r>
        <w:rPr>
          <w:rFonts w:ascii="Times New Roman" w:hAnsi="Times New Roman"/>
          <w:b/>
          <w:sz w:val="22"/>
        </w:rPr>
        <w:t xml:space="preserve">(1)  </w:t>
      </w:r>
      <w:r>
        <w:rPr>
          <w:rFonts w:ascii="Times New Roman" w:hAnsi="Times New Roman"/>
          <w:sz w:val="22"/>
        </w:rPr>
        <w:t>the amount committed;</w:t>
      </w:r>
    </w:p>
    <w:p>
      <w:pPr>
        <w:ind w:left="864" w:hanging="432"/>
        <w:jc w:val="both"/>
      </w:pPr>
      <w:r>
        <w:rPr>
          <w:rFonts w:ascii="Times New Roman" w:hAnsi="Times New Roman"/>
          <w:b/>
          <w:sz w:val="22"/>
        </w:rPr>
        <w:t xml:space="preserve">(2)  </w:t>
      </w:r>
      <w:r>
        <w:rPr>
          <w:rFonts w:ascii="Times New Roman" w:hAnsi="Times New Roman"/>
          <w:sz w:val="22"/>
        </w:rPr>
        <w:t>the value of awards;</w:t>
      </w:r>
    </w:p>
    <w:p>
      <w:pPr>
        <w:ind w:left="864" w:hanging="432"/>
        <w:jc w:val="both"/>
      </w:pPr>
      <w:r>
        <w:rPr>
          <w:rFonts w:ascii="Times New Roman" w:hAnsi="Times New Roman"/>
          <w:b/>
          <w:sz w:val="22"/>
        </w:rPr>
        <w:t xml:space="preserve">(3)  </w:t>
      </w:r>
      <w:r>
        <w:rPr>
          <w:rFonts w:ascii="Times New Roman" w:hAnsi="Times New Roman"/>
          <w:sz w:val="22"/>
        </w:rPr>
        <w:t>gross gaming revenue as defined in SBCGS-C § 103; and</w:t>
      </w:r>
    </w:p>
    <w:p>
      <w:pPr>
        <w:ind w:left="864" w:hanging="432"/>
        <w:jc w:val="both"/>
      </w:pPr>
      <w:r>
        <w:rPr>
          <w:rFonts w:ascii="Times New Roman" w:hAnsi="Times New Roman"/>
          <w:b/>
          <w:sz w:val="22"/>
        </w:rPr>
        <w:t xml:space="preserve">(4)  </w:t>
      </w:r>
      <w:r>
        <w:rPr>
          <w:rFonts w:ascii="Times New Roman" w:hAnsi="Times New Roman"/>
          <w:sz w:val="22"/>
        </w:rPr>
        <w:t>the actual return to player, compared with the theoretical return recorded for the configuration.</w:t>
      </w:r>
    </w:p>
    <w:p>
      <w:pPr>
        <w:ind w:left="432" w:hanging="432"/>
        <w:jc w:val="both"/>
      </w:pPr>
      <w:r>
        <w:rPr>
          <w:rFonts w:ascii="Times New Roman" w:hAnsi="Times New Roman"/>
          <w:b/>
          <w:sz w:val="22"/>
        </w:rPr>
        <w:t xml:space="preserve">(b)  </w:t>
      </w:r>
      <w:r>
        <w:rPr>
          <w:rFonts w:ascii="Times New Roman" w:hAnsi="Times New Roman"/>
          <w:sz w:val="22"/>
        </w:rPr>
        <w:t>Where a charitable representation is made, the monitoring system shall accept the deduction categories required by SBCGS-M § 502(b)(4), shall compute charitable yield as defined in SBCGS-C § 107(d), and shall retain the computation and its inputs.</w:t>
      </w:r>
    </w:p>
    <w:p>
      <w:pPr>
        <w:ind w:left="432" w:hanging="432"/>
        <w:jc w:val="both"/>
      </w:pPr>
      <w:r>
        <w:rPr>
          <w:rFonts w:ascii="Times New Roman" w:hAnsi="Times New Roman"/>
          <w:b/>
          <w:sz w:val="22"/>
        </w:rPr>
        <w:t xml:space="preserve">(c)  </w:t>
      </w:r>
      <w:r>
        <w:rPr>
          <w:rFonts w:ascii="Times New Roman" w:hAnsi="Times New Roman"/>
          <w:sz w:val="22"/>
        </w:rPr>
        <w:t>The system shall not permit an amount to be recorded as applied to a charitable purpose without identifying the beneficiary.</w:t>
      </w:r>
    </w:p>
    <w:p>
      <w:pPr>
        <w:ind w:left="432" w:hanging="432"/>
        <w:jc w:val="both"/>
      </w:pPr>
      <w:r>
        <w:rPr>
          <w:rFonts w:ascii="Times New Roman" w:hAnsi="Times New Roman"/>
          <w:b/>
          <w:sz w:val="22"/>
        </w:rPr>
        <w:t xml:space="preserve">(d)  </w:t>
      </w:r>
      <w:r>
        <w:rPr>
          <w:rFonts w:ascii="Times New Roman" w:hAnsi="Times New Roman"/>
          <w:sz w:val="22"/>
        </w:rPr>
        <w:t>The system shall make each computation under this section available for export in a machine readable format.</w:t>
      </w:r>
    </w:p>
    <w:p>
      <w:r>
        <w:br w:type="page"/>
      </w:r>
    </w:p>
    <w:p>
      <w:pPr>
        <w:spacing w:after="40"/>
      </w:pPr>
      <w:r>
        <w:rPr>
          <w:rFonts w:ascii="Calibri" w:hAnsi="Calibri"/>
          <w:b/>
          <w:color w:val="143C46"/>
          <w:sz w:val="18"/>
        </w:rPr>
        <w:t>PART 850</w:t>
      </w:r>
    </w:p>
    <w:p>
      <w:pPr>
        <w:pStyle w:val="Heading1"/>
        <w:spacing w:before="0"/>
        <w:pBdr>
          <w:bottom w:val="single" w:sz="8" w:space="6" w:color="143C46"/>
        </w:pBdr>
      </w:pPr>
      <w:r>
        <w:rPr>
          <w:rFonts w:ascii="Times New Roman" w:hAnsi="Times New Roman"/>
          <w:b/>
          <w:color w:val="000000"/>
          <w:sz w:val="30"/>
        </w:rPr>
        <w:t>Monitoring System and Communications</w:t>
      </w:r>
    </w:p>
    <w:p>
      <w:pPr>
        <w:pStyle w:val="Heading2"/>
      </w:pPr>
      <w:r>
        <w:rPr>
          <w:rFonts w:ascii="Times New Roman" w:hAnsi="Times New Roman"/>
          <w:b/>
          <w:color w:val="143C46"/>
          <w:sz w:val="23"/>
        </w:rPr>
        <w:t xml:space="preserve">§ 851.  </w:t>
      </w:r>
      <w:r>
        <w:rPr>
          <w:rFonts w:ascii="Times New Roman" w:hAnsi="Times New Roman"/>
          <w:b/>
          <w:color w:val="000000"/>
          <w:sz w:val="23"/>
        </w:rPr>
        <w:t>Connection</w:t>
      </w:r>
    </w:p>
    <w:p>
      <w:pPr>
        <w:ind w:left="432" w:hanging="432"/>
        <w:jc w:val="both"/>
      </w:pPr>
      <w:r>
        <w:rPr>
          <w:rFonts w:ascii="Times New Roman" w:hAnsi="Times New Roman"/>
          <w:b/>
          <w:sz w:val="22"/>
        </w:rPr>
        <w:t xml:space="preserve">(a)  </w:t>
      </w:r>
      <w:r>
        <w:rPr>
          <w:rFonts w:ascii="Times New Roman" w:hAnsi="Times New Roman"/>
          <w:sz w:val="22"/>
        </w:rPr>
        <w:t>A covered device shall communicate with a monitoring system under the control of the covered operator or of a regulatory authority.</w:t>
      </w:r>
    </w:p>
    <w:p>
      <w:pPr>
        <w:ind w:left="432" w:hanging="432"/>
        <w:jc w:val="both"/>
      </w:pPr>
      <w:r>
        <w:rPr>
          <w:rFonts w:ascii="Times New Roman" w:hAnsi="Times New Roman"/>
          <w:b/>
          <w:sz w:val="22"/>
        </w:rPr>
        <w:t xml:space="preserve">(b)  </w:t>
      </w:r>
      <w:r>
        <w:rPr>
          <w:rFonts w:ascii="Times New Roman" w:hAnsi="Times New Roman"/>
          <w:sz w:val="22"/>
        </w:rPr>
        <w:t>The device shall transmit each event within § 862 and each meter within § 841 not less often than every five minutes while in service, and shall transmit an event within § 805(b) immediately.</w:t>
      </w:r>
    </w:p>
    <w:p>
      <w:pPr>
        <w:ind w:left="432" w:hanging="432"/>
        <w:jc w:val="both"/>
      </w:pPr>
      <w:r>
        <w:rPr>
          <w:rFonts w:ascii="Times New Roman" w:hAnsi="Times New Roman"/>
          <w:b/>
          <w:sz w:val="22"/>
        </w:rPr>
        <w:t xml:space="preserve">(c)  </w:t>
      </w:r>
      <w:r>
        <w:rPr>
          <w:rFonts w:ascii="Times New Roman" w:hAnsi="Times New Roman"/>
          <w:sz w:val="22"/>
        </w:rPr>
        <w:t>The device shall queue transmissions that cannot be delivered and shall deliver them on restoration, without loss and without duplication.</w:t>
      </w:r>
    </w:p>
    <w:p>
      <w:pPr>
        <w:ind w:left="432" w:hanging="432"/>
        <w:jc w:val="both"/>
      </w:pPr>
      <w:r>
        <w:rPr>
          <w:rFonts w:ascii="Times New Roman" w:hAnsi="Times New Roman"/>
          <w:b/>
          <w:sz w:val="22"/>
        </w:rPr>
        <w:t xml:space="preserve">(d)  </w:t>
      </w:r>
      <w:r>
        <w:rPr>
          <w:rFonts w:ascii="Times New Roman" w:hAnsi="Times New Roman"/>
          <w:sz w:val="22"/>
        </w:rPr>
        <w:t>Where communication has been unavailable for more than twenty four hours, the device shall enter the state described in § 805(a).</w:t>
      </w:r>
    </w:p>
    <w:p>
      <w:pPr>
        <w:spacing w:before="240"/>
        <w:pBdr>
          <w:top w:val="single" w:sz="4" w:space="6" w:color="8A8A8A"/>
        </w:pBdr>
      </w:pPr>
      <w:r>
        <w:rPr>
          <w:rFonts w:ascii="Times New Roman" w:hAnsi="Times New Roman"/>
          <w:i/>
          <w:color w:val="555555"/>
          <w:sz w:val="17"/>
        </w:rPr>
        <w:t>Basis: Pa. H.B. 2557, § 5301 (2026); Minn. R. 7864.0235.</w:t>
      </w:r>
    </w:p>
    <w:p>
      <w:pPr>
        <w:pStyle w:val="Heading2"/>
      </w:pPr>
      <w:r>
        <w:rPr>
          <w:rFonts w:ascii="Times New Roman" w:hAnsi="Times New Roman"/>
          <w:b/>
          <w:color w:val="143C46"/>
          <w:sz w:val="23"/>
        </w:rPr>
        <w:t xml:space="preserve">§ 852.  </w:t>
      </w:r>
      <w:r>
        <w:rPr>
          <w:rFonts w:ascii="Times New Roman" w:hAnsi="Times New Roman"/>
          <w:b/>
          <w:color w:val="000000"/>
          <w:sz w:val="23"/>
        </w:rPr>
        <w:t>Capabilities</w:t>
      </w:r>
    </w:p>
    <w:p>
      <w:pPr>
        <w:ind w:left="432" w:hanging="432"/>
        <w:jc w:val="both"/>
      </w:pPr>
      <w:r>
        <w:rPr>
          <w:rFonts w:ascii="Times New Roman" w:hAnsi="Times New Roman"/>
          <w:b/>
          <w:sz w:val="22"/>
        </w:rPr>
        <w:t xml:space="preserve">(a)  </w:t>
      </w:r>
      <w:r>
        <w:rPr>
          <w:rFonts w:ascii="Times New Roman" w:hAnsi="Times New Roman"/>
          <w:sz w:val="22"/>
        </w:rPr>
        <w:t>A monitoring system shall be capable of:</w:t>
      </w:r>
    </w:p>
    <w:p>
      <w:pPr>
        <w:ind w:left="864" w:hanging="432"/>
        <w:jc w:val="both"/>
      </w:pPr>
      <w:r>
        <w:rPr>
          <w:rFonts w:ascii="Times New Roman" w:hAnsi="Times New Roman"/>
          <w:b/>
          <w:sz w:val="22"/>
        </w:rPr>
        <w:t xml:space="preserve">(1)  </w:t>
      </w:r>
      <w:r>
        <w:rPr>
          <w:rFonts w:ascii="Times New Roman" w:hAnsi="Times New Roman"/>
          <w:sz w:val="22"/>
        </w:rPr>
        <w:t>recording every commitment, award, and session in real time;</w:t>
      </w:r>
    </w:p>
    <w:p>
      <w:pPr>
        <w:ind w:left="864" w:hanging="432"/>
        <w:jc w:val="both"/>
      </w:pPr>
      <w:r>
        <w:rPr>
          <w:rFonts w:ascii="Times New Roman" w:hAnsi="Times New Roman"/>
          <w:b/>
          <w:sz w:val="22"/>
        </w:rPr>
        <w:t xml:space="preserve">(2)  </w:t>
      </w:r>
      <w:r>
        <w:rPr>
          <w:rFonts w:ascii="Times New Roman" w:hAnsi="Times New Roman"/>
          <w:sz w:val="22"/>
        </w:rPr>
        <w:t>enforcing exclusion by distributing exclusion data to every covered device the operator offers, in every jurisdiction in which it operates;</w:t>
      </w:r>
    </w:p>
    <w:p>
      <w:pPr>
        <w:ind w:left="864" w:hanging="432"/>
        <w:jc w:val="both"/>
      </w:pPr>
      <w:r>
        <w:rPr>
          <w:rFonts w:ascii="Times New Roman" w:hAnsi="Times New Roman"/>
          <w:b/>
          <w:sz w:val="22"/>
        </w:rPr>
        <w:t xml:space="preserve">(3)  </w:t>
      </w:r>
      <w:r>
        <w:rPr>
          <w:rFonts w:ascii="Times New Roman" w:hAnsi="Times New Roman"/>
          <w:sz w:val="22"/>
        </w:rPr>
        <w:t>enforcing limits set under SBCGS-M § 302 across the devices at which a player plays, where identity is established;</w:t>
      </w:r>
    </w:p>
    <w:p>
      <w:pPr>
        <w:ind w:left="864" w:hanging="432"/>
        <w:jc w:val="both"/>
      </w:pPr>
      <w:r>
        <w:rPr>
          <w:rFonts w:ascii="Times New Roman" w:hAnsi="Times New Roman"/>
          <w:b/>
          <w:sz w:val="22"/>
        </w:rPr>
        <w:t xml:space="preserve">(4)  </w:t>
      </w:r>
      <w:r>
        <w:rPr>
          <w:rFonts w:ascii="Times New Roman" w:hAnsi="Times New Roman"/>
          <w:sz w:val="22"/>
        </w:rPr>
        <w:t>disabling a covered device remotely;</w:t>
      </w:r>
    </w:p>
    <w:p>
      <w:pPr>
        <w:ind w:left="864" w:hanging="432"/>
        <w:jc w:val="both"/>
      </w:pPr>
      <w:r>
        <w:rPr>
          <w:rFonts w:ascii="Times New Roman" w:hAnsi="Times New Roman"/>
          <w:b/>
          <w:sz w:val="22"/>
        </w:rPr>
        <w:t xml:space="preserve">(5)  </w:t>
      </w:r>
      <w:r>
        <w:rPr>
          <w:rFonts w:ascii="Times New Roman" w:hAnsi="Times New Roman"/>
          <w:sz w:val="22"/>
        </w:rPr>
        <w:t>verifying the software identification reported by each device against the identification recorded for it, and raising an alarm on a mismatch;</w:t>
      </w:r>
    </w:p>
    <w:p>
      <w:pPr>
        <w:ind w:left="864" w:hanging="432"/>
        <w:jc w:val="both"/>
      </w:pPr>
      <w:r>
        <w:rPr>
          <w:rFonts w:ascii="Times New Roman" w:hAnsi="Times New Roman"/>
          <w:b/>
          <w:sz w:val="22"/>
        </w:rPr>
        <w:t xml:space="preserve">(6)  </w:t>
      </w:r>
      <w:r>
        <w:rPr>
          <w:rFonts w:ascii="Times New Roman" w:hAnsi="Times New Roman"/>
          <w:sz w:val="22"/>
        </w:rPr>
        <w:t>receiving and aggregating the skill event records required by § 816 and computing the skill realization rate for any device, product, configuration, and period;</w:t>
      </w:r>
    </w:p>
    <w:p>
      <w:pPr>
        <w:ind w:left="864" w:hanging="432"/>
        <w:jc w:val="both"/>
      </w:pPr>
      <w:r>
        <w:rPr>
          <w:rFonts w:ascii="Times New Roman" w:hAnsi="Times New Roman"/>
          <w:b/>
          <w:sz w:val="22"/>
        </w:rPr>
        <w:t xml:space="preserve">(7)  </w:t>
      </w:r>
      <w:r>
        <w:rPr>
          <w:rFonts w:ascii="Times New Roman" w:hAnsi="Times New Roman"/>
          <w:sz w:val="22"/>
        </w:rPr>
        <w:t>computing the values required by § 843; and</w:t>
      </w:r>
    </w:p>
    <w:p>
      <w:pPr>
        <w:ind w:left="864" w:hanging="432"/>
        <w:jc w:val="both"/>
      </w:pPr>
      <w:r>
        <w:rPr>
          <w:rFonts w:ascii="Times New Roman" w:hAnsi="Times New Roman"/>
          <w:b/>
          <w:sz w:val="22"/>
        </w:rPr>
        <w:t xml:space="preserve">(8)  </w:t>
      </w:r>
      <w:r>
        <w:rPr>
          <w:rFonts w:ascii="Times New Roman" w:hAnsi="Times New Roman"/>
          <w:sz w:val="22"/>
        </w:rPr>
        <w:t>producing the reports required by SBCGS-M § 602.</w:t>
      </w:r>
    </w:p>
    <w:p>
      <w:pPr>
        <w:ind w:left="432" w:hanging="432"/>
        <w:jc w:val="both"/>
      </w:pPr>
      <w:r>
        <w:rPr>
          <w:rFonts w:ascii="Times New Roman" w:hAnsi="Times New Roman"/>
          <w:b/>
          <w:sz w:val="22"/>
        </w:rPr>
        <w:t xml:space="preserve">(b)  </w:t>
      </w:r>
      <w:r>
        <w:rPr>
          <w:rFonts w:ascii="Times New Roman" w:hAnsi="Times New Roman"/>
          <w:sz w:val="22"/>
        </w:rPr>
        <w:t>A monitoring system shall retain the records supporting each capability for not less than five years.</w:t>
      </w:r>
    </w:p>
    <w:p>
      <w:pPr>
        <w:pStyle w:val="Heading2"/>
      </w:pPr>
      <w:r>
        <w:rPr>
          <w:rFonts w:ascii="Times New Roman" w:hAnsi="Times New Roman"/>
          <w:b/>
          <w:color w:val="143C46"/>
          <w:sz w:val="23"/>
        </w:rPr>
        <w:t xml:space="preserve">§ 853.  </w:t>
      </w:r>
      <w:r>
        <w:rPr>
          <w:rFonts w:ascii="Times New Roman" w:hAnsi="Times New Roman"/>
          <w:b/>
          <w:color w:val="000000"/>
          <w:sz w:val="23"/>
        </w:rPr>
        <w:t>Security of communications</w:t>
      </w:r>
    </w:p>
    <w:p>
      <w:pPr>
        <w:ind w:left="432" w:hanging="432"/>
        <w:jc w:val="both"/>
      </w:pPr>
      <w:r>
        <w:rPr>
          <w:rFonts w:ascii="Times New Roman" w:hAnsi="Times New Roman"/>
          <w:b/>
          <w:sz w:val="22"/>
        </w:rPr>
        <w:t xml:space="preserve">(a)  </w:t>
      </w:r>
      <w:r>
        <w:rPr>
          <w:rFonts w:ascii="Times New Roman" w:hAnsi="Times New Roman"/>
          <w:sz w:val="22"/>
        </w:rPr>
        <w:t>Communication between a covered device and a monitoring system shall be authenticated and encrypted using a published algorithm of current general acceptance, and shall protect against replay.</w:t>
      </w:r>
    </w:p>
    <w:p>
      <w:pPr>
        <w:spacing w:before="240"/>
        <w:pBdr>
          <w:top w:val="single" w:sz="4" w:space="6" w:color="8A8A8A"/>
        </w:pBdr>
      </w:pPr>
      <w:r>
        <w:rPr>
          <w:rFonts w:ascii="Times New Roman" w:hAnsi="Times New Roman"/>
          <w:i/>
          <w:color w:val="555555"/>
          <w:sz w:val="17"/>
        </w:rPr>
        <w:t>Basis: Minn. R. 7864.0235, which requires authentication and encryption employing the Advanced Encryption Standard; 25 C.F.R. § 547.15.</w:t>
      </w:r>
    </w:p>
    <w:p>
      <w:pPr>
        <w:ind w:left="432" w:hanging="432"/>
        <w:jc w:val="both"/>
      </w:pPr>
      <w:r>
        <w:rPr>
          <w:rFonts w:ascii="Times New Roman" w:hAnsi="Times New Roman"/>
          <w:b/>
          <w:sz w:val="22"/>
        </w:rPr>
        <w:t xml:space="preserve">(b)  </w:t>
      </w:r>
      <w:r>
        <w:rPr>
          <w:rFonts w:ascii="Times New Roman" w:hAnsi="Times New Roman"/>
          <w:sz w:val="22"/>
        </w:rPr>
        <w:t>A covered device and a monitoring system shall each authenticate the other before exchanging data.</w:t>
      </w:r>
    </w:p>
    <w:p>
      <w:pPr>
        <w:ind w:left="432" w:hanging="432"/>
        <w:jc w:val="both"/>
      </w:pPr>
      <w:r>
        <w:rPr>
          <w:rFonts w:ascii="Times New Roman" w:hAnsi="Times New Roman"/>
          <w:b/>
          <w:sz w:val="22"/>
        </w:rPr>
        <w:t xml:space="preserve">(c)  </w:t>
      </w:r>
      <w:r>
        <w:rPr>
          <w:rFonts w:ascii="Times New Roman" w:hAnsi="Times New Roman"/>
          <w:sz w:val="22"/>
        </w:rPr>
        <w:t>Access to a monitoring system shall be controlled by individual credentials, shall require a second factor for any account able to change a configuration, a limit, an exclusion record, or a meter, and shall be logged.</w:t>
      </w:r>
    </w:p>
    <w:p>
      <w:pPr>
        <w:ind w:left="432" w:hanging="432"/>
        <w:jc w:val="both"/>
      </w:pPr>
      <w:r>
        <w:rPr>
          <w:rFonts w:ascii="Times New Roman" w:hAnsi="Times New Roman"/>
          <w:b/>
          <w:sz w:val="22"/>
        </w:rPr>
        <w:t xml:space="preserve">(d)  </w:t>
      </w:r>
      <w:r>
        <w:rPr>
          <w:rFonts w:ascii="Times New Roman" w:hAnsi="Times New Roman"/>
          <w:sz w:val="22"/>
        </w:rPr>
        <w:t>A monitoring system shall be subject to a penetration test by a person independent of its developer and its operator, at intervals not exceeding twenty four months, and the report shall be retained and produced to an assessor on request.</w:t>
      </w:r>
    </w:p>
    <w:p>
      <w:pPr>
        <w:pStyle w:val="Heading2"/>
      </w:pPr>
      <w:r>
        <w:rPr>
          <w:rFonts w:ascii="Times New Roman" w:hAnsi="Times New Roman"/>
          <w:b/>
          <w:color w:val="143C46"/>
          <w:sz w:val="23"/>
        </w:rPr>
        <w:t xml:space="preserve">§ 854.  </w:t>
      </w:r>
      <w:r>
        <w:rPr>
          <w:rFonts w:ascii="Times New Roman" w:hAnsi="Times New Roman"/>
          <w:b/>
          <w:color w:val="000000"/>
          <w:sz w:val="23"/>
        </w:rPr>
        <w:t>Remote disable</w:t>
      </w:r>
    </w:p>
    <w:p>
      <w:pPr>
        <w:ind w:left="432" w:hanging="432"/>
        <w:jc w:val="both"/>
      </w:pPr>
      <w:r>
        <w:rPr>
          <w:rFonts w:ascii="Times New Roman" w:hAnsi="Times New Roman"/>
          <w:b/>
          <w:sz w:val="22"/>
        </w:rPr>
        <w:t xml:space="preserve">(a)  </w:t>
      </w:r>
      <w:r>
        <w:rPr>
          <w:rFonts w:ascii="Times New Roman" w:hAnsi="Times New Roman"/>
          <w:sz w:val="22"/>
        </w:rPr>
        <w:t>A monitoring system shall permit a covered device to be disabled remotely, and shall record the individual, the time, and the reason.</w:t>
      </w:r>
    </w:p>
    <w:p>
      <w:pPr>
        <w:ind w:left="432" w:hanging="432"/>
        <w:jc w:val="both"/>
      </w:pPr>
      <w:r>
        <w:rPr>
          <w:rFonts w:ascii="Times New Roman" w:hAnsi="Times New Roman"/>
          <w:b/>
          <w:sz w:val="22"/>
        </w:rPr>
        <w:t xml:space="preserve">(b)  </w:t>
      </w:r>
      <w:r>
        <w:rPr>
          <w:rFonts w:ascii="Times New Roman" w:hAnsi="Times New Roman"/>
          <w:sz w:val="22"/>
        </w:rPr>
        <w:t>A device that has been disabled shall preserve any player balance and shall permit the player to redeem it.</w:t>
      </w:r>
    </w:p>
    <w:p>
      <w:pPr>
        <w:ind w:left="432" w:hanging="432"/>
        <w:jc w:val="both"/>
      </w:pPr>
      <w:r>
        <w:rPr>
          <w:rFonts w:ascii="Times New Roman" w:hAnsi="Times New Roman"/>
          <w:b/>
          <w:sz w:val="22"/>
        </w:rPr>
        <w:t xml:space="preserve">(c)  </w:t>
      </w:r>
      <w:r>
        <w:rPr>
          <w:rFonts w:ascii="Times New Roman" w:hAnsi="Times New Roman"/>
          <w:sz w:val="22"/>
        </w:rPr>
        <w:t>A device shall not be re-enabled except by a recorded action identifying the individual and the basis.</w:t>
      </w:r>
    </w:p>
    <w:p>
      <w:r>
        <w:br w:type="page"/>
      </w:r>
    </w:p>
    <w:p>
      <w:pPr>
        <w:spacing w:after="40"/>
      </w:pPr>
      <w:r>
        <w:rPr>
          <w:rFonts w:ascii="Calibri" w:hAnsi="Calibri"/>
          <w:b/>
          <w:color w:val="143C46"/>
          <w:sz w:val="18"/>
        </w:rPr>
        <w:t>PART 860</w:t>
      </w:r>
    </w:p>
    <w:p>
      <w:pPr>
        <w:pStyle w:val="Heading1"/>
        <w:spacing w:before="0"/>
        <w:pBdr>
          <w:bottom w:val="single" w:sz="8" w:space="6" w:color="143C46"/>
        </w:pBdr>
      </w:pPr>
      <w:r>
        <w:rPr>
          <w:rFonts w:ascii="Times New Roman" w:hAnsi="Times New Roman"/>
          <w:b/>
          <w:color w:val="000000"/>
          <w:sz w:val="30"/>
        </w:rPr>
        <w:t>Records, Logging, and Reconstruction</w:t>
      </w:r>
    </w:p>
    <w:p>
      <w:pPr>
        <w:pStyle w:val="Heading2"/>
      </w:pPr>
      <w:r>
        <w:rPr>
          <w:rFonts w:ascii="Times New Roman" w:hAnsi="Times New Roman"/>
          <w:b/>
          <w:color w:val="143C46"/>
          <w:sz w:val="23"/>
        </w:rPr>
        <w:t xml:space="preserve">§ 861.  </w:t>
      </w:r>
      <w:r>
        <w:rPr>
          <w:rFonts w:ascii="Times New Roman" w:hAnsi="Times New Roman"/>
          <w:b/>
          <w:color w:val="000000"/>
          <w:sz w:val="23"/>
        </w:rPr>
        <w:t>Game recall</w:t>
      </w:r>
    </w:p>
    <w:p>
      <w:pPr>
        <w:ind w:left="432" w:hanging="432"/>
        <w:jc w:val="both"/>
      </w:pPr>
      <w:r>
        <w:rPr>
          <w:rFonts w:ascii="Times New Roman" w:hAnsi="Times New Roman"/>
          <w:b/>
          <w:sz w:val="22"/>
        </w:rPr>
        <w:t xml:space="preserve">(a)  </w:t>
      </w:r>
      <w:r>
        <w:rPr>
          <w:rFonts w:ascii="Times New Roman" w:hAnsi="Times New Roman"/>
          <w:sz w:val="22"/>
        </w:rPr>
        <w:t>A covered device shall retain information sufficient to reconstruct each of the fifty most recent plays and each of the ten most recent sessions, including for each play the amount committed, the outcome, the value returned, each player action, and each matter recorded under § 816.</w:t>
      </w:r>
    </w:p>
    <w:p>
      <w:pPr>
        <w:ind w:left="432" w:hanging="432"/>
        <w:jc w:val="both"/>
      </w:pPr>
      <w:r>
        <w:rPr>
          <w:rFonts w:ascii="Times New Roman" w:hAnsi="Times New Roman"/>
          <w:b/>
          <w:sz w:val="22"/>
        </w:rPr>
        <w:t xml:space="preserve">(b)  </w:t>
      </w:r>
      <w:r>
        <w:rPr>
          <w:rFonts w:ascii="Times New Roman" w:hAnsi="Times New Roman"/>
          <w:sz w:val="22"/>
        </w:rPr>
        <w:t>Recall information shall be presentable at the device in a form that permits a person to determine what occurred, and shall be exportable.</w:t>
      </w:r>
    </w:p>
    <w:p>
      <w:pPr>
        <w:ind w:left="432" w:hanging="432"/>
        <w:jc w:val="both"/>
      </w:pPr>
      <w:r>
        <w:rPr>
          <w:rFonts w:ascii="Times New Roman" w:hAnsi="Times New Roman"/>
          <w:b/>
          <w:sz w:val="22"/>
        </w:rPr>
        <w:t xml:space="preserve">(c)  </w:t>
      </w:r>
      <w:r>
        <w:rPr>
          <w:rFonts w:ascii="Times New Roman" w:hAnsi="Times New Roman"/>
          <w:sz w:val="22"/>
        </w:rPr>
        <w:t>Recall information relating to a play that is the subject of a complaint shall be preserved as required by SBCGS-M § 306(d).</w:t>
      </w:r>
    </w:p>
    <w:p>
      <w:pPr>
        <w:spacing w:before="240"/>
        <w:pBdr>
          <w:top w:val="single" w:sz="4" w:space="6" w:color="8A8A8A"/>
        </w:pBdr>
      </w:pPr>
      <w:r>
        <w:rPr>
          <w:rFonts w:ascii="Times New Roman" w:hAnsi="Times New Roman"/>
          <w:i/>
          <w:color w:val="555555"/>
          <w:sz w:val="17"/>
        </w:rPr>
        <w:t>Basis: GLI-11 v3.0 § 4.20.11.</w:t>
      </w:r>
    </w:p>
    <w:p>
      <w:pPr>
        <w:pStyle w:val="Heading2"/>
      </w:pPr>
      <w:r>
        <w:rPr>
          <w:rFonts w:ascii="Times New Roman" w:hAnsi="Times New Roman"/>
          <w:b/>
          <w:color w:val="143C46"/>
          <w:sz w:val="23"/>
        </w:rPr>
        <w:t xml:space="preserve">§ 862.  </w:t>
      </w:r>
      <w:r>
        <w:rPr>
          <w:rFonts w:ascii="Times New Roman" w:hAnsi="Times New Roman"/>
          <w:b/>
          <w:color w:val="000000"/>
          <w:sz w:val="23"/>
        </w:rPr>
        <w:t>Event log</w:t>
      </w:r>
    </w:p>
    <w:p>
      <w:pPr>
        <w:ind w:left="432" w:hanging="432"/>
        <w:jc w:val="both"/>
      </w:pPr>
      <w:r>
        <w:rPr>
          <w:rFonts w:ascii="Times New Roman" w:hAnsi="Times New Roman"/>
          <w:b/>
          <w:sz w:val="22"/>
        </w:rPr>
        <w:t xml:space="preserve">(a)  </w:t>
      </w:r>
      <w:r>
        <w:rPr>
          <w:rFonts w:ascii="Times New Roman" w:hAnsi="Times New Roman"/>
          <w:sz w:val="22"/>
        </w:rPr>
        <w:t>A covered device shall log, with the date and time and the identity of any individual involved:</w:t>
      </w:r>
    </w:p>
    <w:p>
      <w:pPr>
        <w:ind w:left="864" w:hanging="432"/>
        <w:jc w:val="both"/>
      </w:pPr>
      <w:r>
        <w:rPr>
          <w:rFonts w:ascii="Times New Roman" w:hAnsi="Times New Roman"/>
          <w:b/>
          <w:sz w:val="22"/>
        </w:rPr>
        <w:t xml:space="preserve">(1)  </w:t>
      </w:r>
      <w:r>
        <w:rPr>
          <w:rFonts w:ascii="Times New Roman" w:hAnsi="Times New Roman"/>
          <w:sz w:val="22"/>
        </w:rPr>
        <w:t>each power interruption and each restoration;</w:t>
      </w:r>
    </w:p>
    <w:p>
      <w:pPr>
        <w:ind w:left="864" w:hanging="432"/>
        <w:jc w:val="both"/>
      </w:pPr>
      <w:r>
        <w:rPr>
          <w:rFonts w:ascii="Times New Roman" w:hAnsi="Times New Roman"/>
          <w:b/>
          <w:sz w:val="22"/>
        </w:rPr>
        <w:t xml:space="preserve">(2)  </w:t>
      </w:r>
      <w:r>
        <w:rPr>
          <w:rFonts w:ascii="Times New Roman" w:hAnsi="Times New Roman"/>
          <w:sz w:val="22"/>
        </w:rPr>
        <w:t>each door opening and closing;</w:t>
      </w:r>
    </w:p>
    <w:p>
      <w:pPr>
        <w:ind w:left="864" w:hanging="432"/>
        <w:jc w:val="both"/>
      </w:pPr>
      <w:r>
        <w:rPr>
          <w:rFonts w:ascii="Times New Roman" w:hAnsi="Times New Roman"/>
          <w:b/>
          <w:sz w:val="22"/>
        </w:rPr>
        <w:t xml:space="preserve">(3)  </w:t>
      </w:r>
      <w:r>
        <w:rPr>
          <w:rFonts w:ascii="Times New Roman" w:hAnsi="Times New Roman"/>
          <w:sz w:val="22"/>
        </w:rPr>
        <w:t>each configuration change, stating the prior and the new value;</w:t>
      </w:r>
    </w:p>
    <w:p>
      <w:pPr>
        <w:ind w:left="864" w:hanging="432"/>
        <w:jc w:val="both"/>
      </w:pPr>
      <w:r>
        <w:rPr>
          <w:rFonts w:ascii="Times New Roman" w:hAnsi="Times New Roman"/>
          <w:b/>
          <w:sz w:val="22"/>
        </w:rPr>
        <w:t xml:space="preserve">(4)  </w:t>
      </w:r>
      <w:r>
        <w:rPr>
          <w:rFonts w:ascii="Times New Roman" w:hAnsi="Times New Roman"/>
          <w:sz w:val="22"/>
        </w:rPr>
        <w:t>each software load and each verification under § 803(e);</w:t>
      </w:r>
    </w:p>
    <w:p>
      <w:pPr>
        <w:ind w:left="864" w:hanging="432"/>
        <w:jc w:val="both"/>
      </w:pPr>
      <w:r>
        <w:rPr>
          <w:rFonts w:ascii="Times New Roman" w:hAnsi="Times New Roman"/>
          <w:b/>
          <w:sz w:val="22"/>
        </w:rPr>
        <w:t xml:space="preserve">(5)  </w:t>
      </w:r>
      <w:r>
        <w:rPr>
          <w:rFonts w:ascii="Times New Roman" w:hAnsi="Times New Roman"/>
          <w:sz w:val="22"/>
        </w:rPr>
        <w:t>each meter reset under § 841(d);</w:t>
      </w:r>
    </w:p>
    <w:p>
      <w:pPr>
        <w:ind w:left="864" w:hanging="432"/>
        <w:jc w:val="both"/>
      </w:pPr>
      <w:r>
        <w:rPr>
          <w:rFonts w:ascii="Times New Roman" w:hAnsi="Times New Roman"/>
          <w:b/>
          <w:sz w:val="22"/>
        </w:rPr>
        <w:t xml:space="preserve">(6)  </w:t>
      </w:r>
      <w:r>
        <w:rPr>
          <w:rFonts w:ascii="Times New Roman" w:hAnsi="Times New Roman"/>
          <w:sz w:val="22"/>
        </w:rPr>
        <w:t>each entry into and exit from the state described in § 805(a), with the condition;</w:t>
      </w:r>
    </w:p>
    <w:p>
      <w:pPr>
        <w:ind w:left="864" w:hanging="432"/>
        <w:jc w:val="both"/>
      </w:pPr>
      <w:r>
        <w:rPr>
          <w:rFonts w:ascii="Times New Roman" w:hAnsi="Times New Roman"/>
          <w:b/>
          <w:sz w:val="22"/>
        </w:rPr>
        <w:t xml:space="preserve">(7)  </w:t>
      </w:r>
      <w:r>
        <w:rPr>
          <w:rFonts w:ascii="Times New Roman" w:hAnsi="Times New Roman"/>
          <w:sz w:val="22"/>
        </w:rPr>
        <w:t>each refusal under § 832 and § 833;</w:t>
      </w:r>
    </w:p>
    <w:p>
      <w:pPr>
        <w:ind w:left="864" w:hanging="432"/>
        <w:jc w:val="both"/>
      </w:pPr>
      <w:r>
        <w:rPr>
          <w:rFonts w:ascii="Times New Roman" w:hAnsi="Times New Roman"/>
          <w:b/>
          <w:sz w:val="22"/>
        </w:rPr>
        <w:t xml:space="preserve">(8)  </w:t>
      </w:r>
      <w:r>
        <w:rPr>
          <w:rFonts w:ascii="Times New Roman" w:hAnsi="Times New Roman"/>
          <w:sz w:val="22"/>
        </w:rPr>
        <w:t>each enrollment transmitted under § 832(e);</w:t>
      </w:r>
    </w:p>
    <w:p>
      <w:pPr>
        <w:ind w:left="864" w:hanging="432"/>
        <w:jc w:val="both"/>
      </w:pPr>
      <w:r>
        <w:rPr>
          <w:rFonts w:ascii="Times New Roman" w:hAnsi="Times New Roman"/>
          <w:b/>
          <w:sz w:val="22"/>
        </w:rPr>
        <w:t xml:space="preserve">(9)  </w:t>
      </w:r>
      <w:r>
        <w:rPr>
          <w:rFonts w:ascii="Times New Roman" w:hAnsi="Times New Roman"/>
          <w:sz w:val="22"/>
        </w:rPr>
        <w:t>each collection of proceeds; and</w:t>
      </w:r>
    </w:p>
    <w:p>
      <w:pPr>
        <w:ind w:left="864" w:hanging="432"/>
        <w:jc w:val="both"/>
      </w:pPr>
      <w:r>
        <w:rPr>
          <w:rFonts w:ascii="Times New Roman" w:hAnsi="Times New Roman"/>
          <w:b/>
          <w:sz w:val="22"/>
        </w:rPr>
        <w:t xml:space="preserve">(10)  </w:t>
      </w:r>
      <w:r>
        <w:rPr>
          <w:rFonts w:ascii="Times New Roman" w:hAnsi="Times New Roman"/>
          <w:sz w:val="22"/>
        </w:rPr>
        <w:t>each communication failure exceeding five minutes.</w:t>
      </w:r>
    </w:p>
    <w:p>
      <w:pPr>
        <w:ind w:left="432" w:hanging="432"/>
        <w:jc w:val="both"/>
      </w:pPr>
      <w:r>
        <w:rPr>
          <w:rFonts w:ascii="Times New Roman" w:hAnsi="Times New Roman"/>
          <w:b/>
          <w:sz w:val="22"/>
        </w:rPr>
        <w:t xml:space="preserve">(b)  </w:t>
      </w:r>
      <w:r>
        <w:rPr>
          <w:rFonts w:ascii="Times New Roman" w:hAnsi="Times New Roman"/>
          <w:sz w:val="22"/>
        </w:rPr>
        <w:t>The log shall retain not fewer than the most recent one thousand events of each type, or ninety days, whichever is greater, and shall be transmitted to the monitoring system.</w:t>
      </w:r>
    </w:p>
    <w:p>
      <w:pPr>
        <w:ind w:left="432" w:hanging="432"/>
        <w:jc w:val="both"/>
      </w:pPr>
      <w:r>
        <w:rPr>
          <w:rFonts w:ascii="Times New Roman" w:hAnsi="Times New Roman"/>
          <w:b/>
          <w:sz w:val="22"/>
        </w:rPr>
        <w:t xml:space="preserve">(c)  </w:t>
      </w:r>
      <w:r>
        <w:rPr>
          <w:rFonts w:ascii="Times New Roman" w:hAnsi="Times New Roman"/>
          <w:sz w:val="22"/>
        </w:rPr>
        <w:t>A log entry shall not be alterable or deletable at the device.</w:t>
      </w:r>
    </w:p>
    <w:p>
      <w:pPr>
        <w:pStyle w:val="Heading2"/>
      </w:pPr>
      <w:r>
        <w:rPr>
          <w:rFonts w:ascii="Times New Roman" w:hAnsi="Times New Roman"/>
          <w:b/>
          <w:color w:val="143C46"/>
          <w:sz w:val="23"/>
        </w:rPr>
        <w:t xml:space="preserve">§ 863.  </w:t>
      </w:r>
      <w:r>
        <w:rPr>
          <w:rFonts w:ascii="Times New Roman" w:hAnsi="Times New Roman"/>
          <w:b/>
          <w:color w:val="000000"/>
          <w:sz w:val="23"/>
        </w:rPr>
        <w:t>Clock, retention, and production</w:t>
      </w:r>
    </w:p>
    <w:p>
      <w:pPr>
        <w:ind w:left="432" w:hanging="432"/>
        <w:jc w:val="both"/>
      </w:pPr>
      <w:r>
        <w:rPr>
          <w:rFonts w:ascii="Times New Roman" w:hAnsi="Times New Roman"/>
          <w:b/>
          <w:sz w:val="22"/>
        </w:rPr>
        <w:t xml:space="preserve">(a)  </w:t>
      </w:r>
      <w:r>
        <w:rPr>
          <w:rFonts w:ascii="Times New Roman" w:hAnsi="Times New Roman"/>
          <w:sz w:val="22"/>
        </w:rPr>
        <w:t>A covered device shall maintain a clock synchronized with the monitoring system to within one second, and shall record each synchronization that adjusts the clock by more than one second.</w:t>
      </w:r>
    </w:p>
    <w:p>
      <w:pPr>
        <w:ind w:left="432" w:hanging="432"/>
        <w:jc w:val="both"/>
      </w:pPr>
      <w:r>
        <w:rPr>
          <w:rFonts w:ascii="Times New Roman" w:hAnsi="Times New Roman"/>
          <w:b/>
          <w:sz w:val="22"/>
        </w:rPr>
        <w:t xml:space="preserve">(b)  </w:t>
      </w:r>
      <w:r>
        <w:rPr>
          <w:rFonts w:ascii="Times New Roman" w:hAnsi="Times New Roman"/>
          <w:sz w:val="22"/>
        </w:rPr>
        <w:t>Records required by this Part shall be retained by the monitoring system for not less than five years.</w:t>
      </w:r>
    </w:p>
    <w:p>
      <w:pPr>
        <w:ind w:left="432" w:hanging="432"/>
        <w:jc w:val="both"/>
      </w:pPr>
      <w:r>
        <w:rPr>
          <w:rFonts w:ascii="Times New Roman" w:hAnsi="Times New Roman"/>
          <w:b/>
          <w:sz w:val="22"/>
        </w:rPr>
        <w:t xml:space="preserve">(c)  </w:t>
      </w:r>
      <w:r>
        <w:rPr>
          <w:rFonts w:ascii="Times New Roman" w:hAnsi="Times New Roman"/>
          <w:sz w:val="22"/>
        </w:rPr>
        <w:t>Records shall be producible in a documented, machine readable format, and the covered operator shall publish the schema.</w:t>
      </w:r>
    </w:p>
    <w:p>
      <w:r>
        <w:br w:type="page"/>
      </w:r>
    </w:p>
    <w:p>
      <w:pPr>
        <w:spacing w:after="40"/>
      </w:pPr>
      <w:r>
        <w:rPr>
          <w:rFonts w:ascii="Calibri" w:hAnsi="Calibri"/>
          <w:b/>
          <w:color w:val="143C46"/>
          <w:sz w:val="18"/>
        </w:rPr>
        <w:t>PART 870</w:t>
      </w:r>
    </w:p>
    <w:p>
      <w:pPr>
        <w:pStyle w:val="Heading1"/>
        <w:spacing w:before="0"/>
        <w:pBdr>
          <w:bottom w:val="single" w:sz="8" w:space="6" w:color="143C46"/>
        </w:pBdr>
      </w:pPr>
      <w:r>
        <w:rPr>
          <w:rFonts w:ascii="Times New Roman" w:hAnsi="Times New Roman"/>
          <w:b/>
          <w:color w:val="000000"/>
          <w:sz w:val="30"/>
        </w:rPr>
        <w:t>Software and Hardware Integrity</w:t>
      </w:r>
    </w:p>
    <w:p>
      <w:pPr>
        <w:pStyle w:val="Heading2"/>
      </w:pPr>
      <w:r>
        <w:rPr>
          <w:rFonts w:ascii="Times New Roman" w:hAnsi="Times New Roman"/>
          <w:b/>
          <w:color w:val="143C46"/>
          <w:sz w:val="23"/>
        </w:rPr>
        <w:t xml:space="preserve">§ 871.  </w:t>
      </w:r>
      <w:r>
        <w:rPr>
          <w:rFonts w:ascii="Times New Roman" w:hAnsi="Times New Roman"/>
          <w:b/>
          <w:color w:val="000000"/>
          <w:sz w:val="23"/>
        </w:rPr>
        <w:t>Software identification and verification</w:t>
      </w:r>
    </w:p>
    <w:p>
      <w:pPr>
        <w:ind w:left="432" w:hanging="432"/>
        <w:jc w:val="both"/>
      </w:pPr>
      <w:r>
        <w:rPr>
          <w:rFonts w:ascii="Times New Roman" w:hAnsi="Times New Roman"/>
          <w:b/>
          <w:sz w:val="22"/>
        </w:rPr>
        <w:t xml:space="preserve">(a)  </w:t>
      </w:r>
      <w:r>
        <w:rPr>
          <w:rFonts w:ascii="Times New Roman" w:hAnsi="Times New Roman"/>
          <w:sz w:val="22"/>
        </w:rPr>
        <w:t>Each software component on which outcome, award value, accounting, a skill element, or a control required by this standard depends shall carry an identification that changes whenever the component changes.</w:t>
      </w:r>
    </w:p>
    <w:p>
      <w:pPr>
        <w:ind w:left="432" w:hanging="432"/>
        <w:jc w:val="both"/>
      </w:pPr>
      <w:r>
        <w:rPr>
          <w:rFonts w:ascii="Times New Roman" w:hAnsi="Times New Roman"/>
          <w:b/>
          <w:sz w:val="22"/>
        </w:rPr>
        <w:t xml:space="preserve">(b)  </w:t>
      </w:r>
      <w:r>
        <w:rPr>
          <w:rFonts w:ascii="Times New Roman" w:hAnsi="Times New Roman"/>
          <w:sz w:val="22"/>
        </w:rPr>
        <w:t>A covered device shall verify each such component against a stored value at power up and at intervals not exceeding twenty four hours, and shall enter the state described in § 805(a) on failure.</w:t>
      </w:r>
    </w:p>
    <w:p>
      <w:pPr>
        <w:ind w:left="432" w:hanging="432"/>
        <w:jc w:val="both"/>
      </w:pPr>
      <w:r>
        <w:rPr>
          <w:rFonts w:ascii="Times New Roman" w:hAnsi="Times New Roman"/>
          <w:b/>
          <w:sz w:val="22"/>
        </w:rPr>
        <w:t xml:space="preserve">(c)  </w:t>
      </w:r>
      <w:r>
        <w:rPr>
          <w:rFonts w:ascii="Times New Roman" w:hAnsi="Times New Roman"/>
          <w:sz w:val="22"/>
        </w:rPr>
        <w:t>The verification shall use a method that cannot be satisfied by a component that differs from the one examined by the test laboratory.</w:t>
      </w:r>
    </w:p>
    <w:p>
      <w:pPr>
        <w:spacing w:before="240"/>
        <w:pBdr>
          <w:top w:val="single" w:sz="4" w:space="6" w:color="8A8A8A"/>
        </w:pBdr>
      </w:pPr>
      <w:r>
        <w:rPr>
          <w:rFonts w:ascii="Times New Roman" w:hAnsi="Times New Roman"/>
          <w:i/>
          <w:color w:val="555555"/>
          <w:sz w:val="17"/>
        </w:rPr>
        <w:t>Basis: 25 C.F.R. §§ 547.8, 547.13; Ohio Admin. Code 3772-50-24 app. A, Software Verification.</w:t>
      </w:r>
    </w:p>
    <w:p>
      <w:pPr>
        <w:pStyle w:val="Heading2"/>
      </w:pPr>
      <w:r>
        <w:rPr>
          <w:rFonts w:ascii="Times New Roman" w:hAnsi="Times New Roman"/>
          <w:b/>
          <w:color w:val="143C46"/>
          <w:sz w:val="23"/>
        </w:rPr>
        <w:t xml:space="preserve">§ 872.  </w:t>
      </w:r>
      <w:r>
        <w:rPr>
          <w:rFonts w:ascii="Times New Roman" w:hAnsi="Times New Roman"/>
          <w:b/>
          <w:color w:val="000000"/>
          <w:sz w:val="23"/>
        </w:rPr>
        <w:t>Critical memory</w:t>
      </w:r>
    </w:p>
    <w:p>
      <w:pPr>
        <w:ind w:left="432" w:hanging="432"/>
        <w:jc w:val="both"/>
      </w:pPr>
      <w:r>
        <w:rPr>
          <w:rFonts w:ascii="Times New Roman" w:hAnsi="Times New Roman"/>
          <w:b/>
          <w:sz w:val="22"/>
        </w:rPr>
        <w:t xml:space="preserve">(a)  </w:t>
      </w:r>
      <w:r>
        <w:rPr>
          <w:rFonts w:ascii="Times New Roman" w:hAnsi="Times New Roman"/>
          <w:sz w:val="22"/>
        </w:rPr>
        <w:t>A covered device shall maintain critical memory with a means of detecting corruption, and shall verify it at power up and at intervals not exceeding twenty four hours.</w:t>
      </w:r>
    </w:p>
    <w:p>
      <w:pPr>
        <w:ind w:left="432" w:hanging="432"/>
        <w:jc w:val="both"/>
      </w:pPr>
      <w:r>
        <w:rPr>
          <w:rFonts w:ascii="Times New Roman" w:hAnsi="Times New Roman"/>
          <w:b/>
          <w:sz w:val="22"/>
        </w:rPr>
        <w:t xml:space="preserve">(b)  </w:t>
      </w:r>
      <w:r>
        <w:rPr>
          <w:rFonts w:ascii="Times New Roman" w:hAnsi="Times New Roman"/>
          <w:sz w:val="22"/>
        </w:rPr>
        <w:t>On detection of corruption the device shall enter the state described in § 805(a), shall preserve what can be preserved, and shall record the event.</w:t>
      </w:r>
    </w:p>
    <w:p>
      <w:pPr>
        <w:ind w:left="432" w:hanging="432"/>
        <w:jc w:val="both"/>
      </w:pPr>
      <w:r>
        <w:rPr>
          <w:rFonts w:ascii="Times New Roman" w:hAnsi="Times New Roman"/>
          <w:b/>
          <w:sz w:val="22"/>
        </w:rPr>
        <w:t xml:space="preserve">(c)  </w:t>
      </w:r>
      <w:r>
        <w:rPr>
          <w:rFonts w:ascii="Times New Roman" w:hAnsi="Times New Roman"/>
          <w:sz w:val="22"/>
        </w:rPr>
        <w:t>Critical memory shall be preserved across a power interruption of not less than seventy two hours.</w:t>
      </w:r>
    </w:p>
    <w:p>
      <w:pPr>
        <w:spacing w:before="240"/>
        <w:pBdr>
          <w:top w:val="single" w:sz="4" w:space="6" w:color="8A8A8A"/>
        </w:pBdr>
      </w:pPr>
      <w:r>
        <w:rPr>
          <w:rFonts w:ascii="Times New Roman" w:hAnsi="Times New Roman"/>
          <w:i/>
          <w:color w:val="555555"/>
          <w:sz w:val="17"/>
        </w:rPr>
        <w:t>Basis: 25 C.F.R. § 547.10.</w:t>
      </w:r>
    </w:p>
    <w:p>
      <w:pPr>
        <w:pStyle w:val="Heading2"/>
      </w:pPr>
      <w:r>
        <w:rPr>
          <w:rFonts w:ascii="Times New Roman" w:hAnsi="Times New Roman"/>
          <w:b/>
          <w:color w:val="143C46"/>
          <w:sz w:val="23"/>
        </w:rPr>
        <w:t xml:space="preserve">§ 873.  </w:t>
      </w:r>
      <w:r>
        <w:rPr>
          <w:rFonts w:ascii="Times New Roman" w:hAnsi="Times New Roman"/>
          <w:b/>
          <w:color w:val="000000"/>
          <w:sz w:val="23"/>
        </w:rPr>
        <w:t>Interruption and recovery</w:t>
      </w:r>
    </w:p>
    <w:p>
      <w:pPr>
        <w:ind w:left="432" w:hanging="432"/>
        <w:jc w:val="both"/>
      </w:pPr>
      <w:r>
        <w:rPr>
          <w:rFonts w:ascii="Times New Roman" w:hAnsi="Times New Roman"/>
          <w:b/>
          <w:sz w:val="22"/>
        </w:rPr>
        <w:t xml:space="preserve">(a)  </w:t>
      </w:r>
      <w:r>
        <w:rPr>
          <w:rFonts w:ascii="Times New Roman" w:hAnsi="Times New Roman"/>
          <w:sz w:val="22"/>
        </w:rPr>
        <w:t>After a program interruption, a covered device shall return to the state in which it was before the interruption, including the state of a play in progress and of any skill element in progress.</w:t>
      </w:r>
    </w:p>
    <w:p>
      <w:pPr>
        <w:ind w:left="432" w:hanging="432"/>
        <w:jc w:val="both"/>
      </w:pPr>
      <w:r>
        <w:rPr>
          <w:rFonts w:ascii="Times New Roman" w:hAnsi="Times New Roman"/>
          <w:b/>
          <w:sz w:val="22"/>
        </w:rPr>
        <w:t xml:space="preserve">(b)  </w:t>
      </w:r>
      <w:r>
        <w:rPr>
          <w:rFonts w:ascii="Times New Roman" w:hAnsi="Times New Roman"/>
          <w:sz w:val="22"/>
        </w:rPr>
        <w:t>Where the state of a skill element in progress cannot be restored, the device shall credit the player with the value that completion of the element would have returned, and shall record the event.</w:t>
      </w:r>
    </w:p>
    <w:p>
      <w:pPr>
        <w:spacing w:before="240"/>
        <w:pBdr>
          <w:top w:val="single" w:sz="4" w:space="6" w:color="8A8A8A"/>
        </w:pBdr>
      </w:pPr>
      <w:r>
        <w:rPr>
          <w:rFonts w:ascii="Times New Roman" w:hAnsi="Times New Roman"/>
          <w:i/>
          <w:color w:val="555555"/>
          <w:sz w:val="17"/>
        </w:rPr>
        <w:t>Basis: GLI-11 v3.0 § 4.20.12.</w:t>
      </w:r>
    </w:p>
    <w:p>
      <w:pPr>
        <w:ind w:left="432" w:hanging="432"/>
        <w:jc w:val="both"/>
      </w:pPr>
      <w:r>
        <w:rPr>
          <w:rFonts w:ascii="Times New Roman" w:hAnsi="Times New Roman"/>
          <w:b/>
          <w:sz w:val="22"/>
        </w:rPr>
        <w:t xml:space="preserve">(c)  </w:t>
      </w:r>
      <w:r>
        <w:rPr>
          <w:rFonts w:ascii="Times New Roman" w:hAnsi="Times New Roman"/>
          <w:sz w:val="22"/>
        </w:rPr>
        <w:t>A covered device shall not lose a player balance as a result of an interruption.</w:t>
      </w:r>
    </w:p>
    <w:p>
      <w:pPr>
        <w:pStyle w:val="Heading2"/>
      </w:pPr>
      <w:r>
        <w:rPr>
          <w:rFonts w:ascii="Times New Roman" w:hAnsi="Times New Roman"/>
          <w:b/>
          <w:color w:val="143C46"/>
          <w:sz w:val="23"/>
        </w:rPr>
        <w:t xml:space="preserve">§ 874.  </w:t>
      </w:r>
      <w:r>
        <w:rPr>
          <w:rFonts w:ascii="Times New Roman" w:hAnsi="Times New Roman"/>
          <w:b/>
          <w:color w:val="000000"/>
          <w:sz w:val="23"/>
        </w:rPr>
        <w:t>Physical security</w:t>
      </w:r>
    </w:p>
    <w:p>
      <w:pPr>
        <w:ind w:left="432" w:hanging="432"/>
        <w:jc w:val="both"/>
      </w:pPr>
      <w:r>
        <w:rPr>
          <w:rFonts w:ascii="Times New Roman" w:hAnsi="Times New Roman"/>
          <w:b/>
          <w:sz w:val="22"/>
        </w:rPr>
        <w:t xml:space="preserve">(a)  </w:t>
      </w:r>
      <w:r>
        <w:rPr>
          <w:rFonts w:ascii="Times New Roman" w:hAnsi="Times New Roman"/>
          <w:sz w:val="22"/>
        </w:rPr>
        <w:t>A covered device shall secure, behind a locked mechanism with a sensor recorded under § 862(a)(2), the program storage, the currency acceptor and its container, and any component whose alteration would affect outcome, award value, or a meter.</w:t>
      </w:r>
    </w:p>
    <w:p>
      <w:pPr>
        <w:ind w:left="432" w:hanging="432"/>
        <w:jc w:val="both"/>
      </w:pPr>
      <w:r>
        <w:rPr>
          <w:rFonts w:ascii="Times New Roman" w:hAnsi="Times New Roman"/>
          <w:b/>
          <w:sz w:val="22"/>
        </w:rPr>
        <w:t xml:space="preserve">(b)  </w:t>
      </w:r>
      <w:r>
        <w:rPr>
          <w:rFonts w:ascii="Times New Roman" w:hAnsi="Times New Roman"/>
          <w:sz w:val="22"/>
        </w:rPr>
        <w:t>A covered device shall not present a physical hazard to a player.</w:t>
      </w:r>
    </w:p>
    <w:p>
      <w:pPr>
        <w:spacing w:before="240"/>
        <w:pBdr>
          <w:top w:val="single" w:sz="4" w:space="6" w:color="8A8A8A"/>
        </w:pBdr>
      </w:pPr>
      <w:r>
        <w:rPr>
          <w:rFonts w:ascii="Times New Roman" w:hAnsi="Times New Roman"/>
          <w:i/>
          <w:color w:val="555555"/>
          <w:sz w:val="17"/>
        </w:rPr>
        <w:t>Basis: Ohio Admin. Code 3772-50-24 app. A, Player Safety.</w:t>
      </w:r>
    </w:p>
    <w:p>
      <w:pPr>
        <w:ind w:left="432" w:hanging="432"/>
        <w:jc w:val="both"/>
      </w:pPr>
      <w:r>
        <w:rPr>
          <w:rFonts w:ascii="Times New Roman" w:hAnsi="Times New Roman"/>
          <w:b/>
          <w:sz w:val="22"/>
        </w:rPr>
        <w:t xml:space="preserve">(c)  </w:t>
      </w:r>
      <w:r>
        <w:rPr>
          <w:rFonts w:ascii="Times New Roman" w:hAnsi="Times New Roman"/>
          <w:sz w:val="22"/>
        </w:rPr>
        <w:t>A covered device shall accurately register valid currency and shall return currency it rejects, and shall accept currency only while enabled for play.</w:t>
      </w:r>
    </w:p>
    <w:p>
      <w:pPr>
        <w:spacing w:before="240"/>
        <w:pBdr>
          <w:top w:val="single" w:sz="4" w:space="6" w:color="8A8A8A"/>
        </w:pBdr>
      </w:pPr>
      <w:r>
        <w:rPr>
          <w:rFonts w:ascii="Times New Roman" w:hAnsi="Times New Roman"/>
          <w:i/>
          <w:color w:val="555555"/>
          <w:sz w:val="17"/>
        </w:rPr>
        <w:t>Basis: Ohio Admin. Code 3772-50-24 app. A, Credit Acceptance.</w:t>
      </w:r>
    </w:p>
    <w:p>
      <w:r>
        <w:br w:type="page"/>
      </w:r>
    </w:p>
    <w:p>
      <w:pPr>
        <w:spacing w:after="40"/>
      </w:pPr>
      <w:r>
        <w:rPr>
          <w:rFonts w:ascii="Calibri" w:hAnsi="Calibri"/>
          <w:b/>
          <w:color w:val="143C46"/>
          <w:sz w:val="18"/>
        </w:rPr>
        <w:t>PART 880</w:t>
      </w:r>
    </w:p>
    <w:p>
      <w:pPr>
        <w:pStyle w:val="Heading1"/>
        <w:spacing w:before="0"/>
        <w:pBdr>
          <w:bottom w:val="single" w:sz="8" w:space="6" w:color="143C46"/>
        </w:pBdr>
      </w:pPr>
      <w:r>
        <w:rPr>
          <w:rFonts w:ascii="Times New Roman" w:hAnsi="Times New Roman"/>
          <w:b/>
          <w:color w:val="000000"/>
          <w:sz w:val="30"/>
        </w:rPr>
        <w:t>Testing and Certification</w:t>
      </w:r>
    </w:p>
    <w:p>
      <w:pPr>
        <w:pStyle w:val="Heading2"/>
      </w:pPr>
      <w:r>
        <w:rPr>
          <w:rFonts w:ascii="Times New Roman" w:hAnsi="Times New Roman"/>
          <w:b/>
          <w:color w:val="143C46"/>
          <w:sz w:val="23"/>
        </w:rPr>
        <w:t xml:space="preserve">§ 881.  </w:t>
      </w:r>
      <w:r>
        <w:rPr>
          <w:rFonts w:ascii="Times New Roman" w:hAnsi="Times New Roman"/>
          <w:b/>
          <w:color w:val="000000"/>
          <w:sz w:val="23"/>
        </w:rPr>
        <w:t>Test laboratory</w:t>
      </w:r>
    </w:p>
    <w:p>
      <w:pPr>
        <w:ind w:left="432" w:hanging="432"/>
        <w:jc w:val="both"/>
      </w:pPr>
      <w:r>
        <w:rPr>
          <w:rFonts w:ascii="Times New Roman" w:hAnsi="Times New Roman"/>
          <w:b/>
          <w:sz w:val="22"/>
        </w:rPr>
        <w:t xml:space="preserve">(a)  </w:t>
      </w:r>
      <w:r>
        <w:rPr>
          <w:rFonts w:ascii="Times New Roman" w:hAnsi="Times New Roman"/>
          <w:sz w:val="22"/>
        </w:rPr>
        <w:t>A test laboratory performing work under this standard shall:</w:t>
      </w:r>
    </w:p>
    <w:p>
      <w:pPr>
        <w:ind w:left="864" w:hanging="432"/>
        <w:jc w:val="both"/>
      </w:pPr>
      <w:r>
        <w:rPr>
          <w:rFonts w:ascii="Times New Roman" w:hAnsi="Times New Roman"/>
          <w:b/>
          <w:sz w:val="22"/>
        </w:rPr>
        <w:t xml:space="preserve">(1)  </w:t>
      </w:r>
      <w:r>
        <w:rPr>
          <w:rFonts w:ascii="Times New Roman" w:hAnsi="Times New Roman"/>
          <w:sz w:val="22"/>
        </w:rPr>
        <w:t>be independent of the manufacturer, of the covered operator, of each host location, and of each licensed organization to which the work relates, and of every affiliate of each;</w:t>
      </w:r>
    </w:p>
    <w:p>
      <w:pPr>
        <w:ind w:left="864" w:hanging="432"/>
        <w:jc w:val="both"/>
      </w:pPr>
      <w:r>
        <w:rPr>
          <w:rFonts w:ascii="Times New Roman" w:hAnsi="Times New Roman"/>
          <w:b/>
          <w:sz w:val="22"/>
        </w:rPr>
        <w:t xml:space="preserve">(2)  </w:t>
      </w:r>
      <w:r>
        <w:rPr>
          <w:rFonts w:ascii="Times New Roman" w:hAnsi="Times New Roman"/>
          <w:sz w:val="22"/>
        </w:rPr>
        <w:t>not be compensated by reference to the outcome of the testing;</w:t>
      </w:r>
    </w:p>
    <w:p>
      <w:pPr>
        <w:ind w:left="864" w:hanging="432"/>
        <w:jc w:val="both"/>
      </w:pPr>
      <w:r>
        <w:rPr>
          <w:rFonts w:ascii="Times New Roman" w:hAnsi="Times New Roman"/>
          <w:b/>
          <w:sz w:val="22"/>
        </w:rPr>
        <w:t xml:space="preserve">(3)  </w:t>
      </w:r>
      <w:r>
        <w:rPr>
          <w:rFonts w:ascii="Times New Roman" w:hAnsi="Times New Roman"/>
          <w:sz w:val="22"/>
        </w:rPr>
        <w:t>hold accreditation to ISO/IEC 17025 for the testing of gaming devices, or an equivalent accreditation recognized by a gaming regulatory authority; and</w:t>
      </w:r>
    </w:p>
    <w:p>
      <w:pPr>
        <w:ind w:left="864" w:hanging="432"/>
        <w:jc w:val="both"/>
      </w:pPr>
      <w:r>
        <w:rPr>
          <w:rFonts w:ascii="Times New Roman" w:hAnsi="Times New Roman"/>
          <w:b/>
          <w:sz w:val="22"/>
        </w:rPr>
        <w:t xml:space="preserve">(4)  </w:t>
      </w:r>
      <w:r>
        <w:rPr>
          <w:rFonts w:ascii="Times New Roman" w:hAnsi="Times New Roman"/>
          <w:sz w:val="22"/>
        </w:rPr>
        <w:t>employ individuals with demonstrated competence in the statistical evaluation of game mathematics and in the examination of gaming device software.</w:t>
      </w:r>
    </w:p>
    <w:p>
      <w:pPr>
        <w:ind w:left="432" w:hanging="432"/>
        <w:jc w:val="both"/>
      </w:pPr>
      <w:r>
        <w:rPr>
          <w:rFonts w:ascii="Times New Roman" w:hAnsi="Times New Roman"/>
          <w:b/>
          <w:sz w:val="22"/>
        </w:rPr>
        <w:t xml:space="preserve">(b)  </w:t>
      </w:r>
      <w:r>
        <w:rPr>
          <w:rFonts w:ascii="Times New Roman" w:hAnsi="Times New Roman"/>
          <w:sz w:val="22"/>
        </w:rPr>
        <w:t>A test laboratory shall retain its working papers, the prototype software examined, and the data supporting each determination under Part 810, for not less than five years.</w:t>
      </w:r>
    </w:p>
    <w:p>
      <w:pPr>
        <w:spacing w:before="240"/>
        <w:pBdr>
          <w:top w:val="single" w:sz="4" w:space="6" w:color="8A8A8A"/>
        </w:pBdr>
      </w:pPr>
      <w:r>
        <w:rPr>
          <w:rFonts w:ascii="Times New Roman" w:hAnsi="Times New Roman"/>
          <w:i/>
          <w:color w:val="555555"/>
          <w:sz w:val="17"/>
        </w:rPr>
        <w:t>Basis: 25 C.F.R. § 547.5; Ohio Admin. Code 3772-50-25.</w:t>
      </w:r>
    </w:p>
    <w:p>
      <w:pPr>
        <w:pStyle w:val="Heading2"/>
      </w:pPr>
      <w:r>
        <w:rPr>
          <w:rFonts w:ascii="Times New Roman" w:hAnsi="Times New Roman"/>
          <w:b/>
          <w:color w:val="143C46"/>
          <w:sz w:val="23"/>
        </w:rPr>
        <w:t xml:space="preserve">§ 882.  </w:t>
      </w:r>
      <w:r>
        <w:rPr>
          <w:rFonts w:ascii="Times New Roman" w:hAnsi="Times New Roman"/>
          <w:b/>
          <w:color w:val="000000"/>
          <w:sz w:val="23"/>
        </w:rPr>
        <w:t>Scope of testing</w:t>
      </w:r>
    </w:p>
    <w:p>
      <w:pPr>
        <w:ind w:left="432" w:hanging="432"/>
        <w:jc w:val="both"/>
      </w:pPr>
      <w:r>
        <w:rPr>
          <w:rFonts w:ascii="Times New Roman" w:hAnsi="Times New Roman"/>
          <w:b/>
          <w:sz w:val="22"/>
        </w:rPr>
        <w:t xml:space="preserve">(a)  </w:t>
      </w:r>
      <w:r>
        <w:rPr>
          <w:rFonts w:ascii="Times New Roman" w:hAnsi="Times New Roman"/>
          <w:sz w:val="22"/>
        </w:rPr>
        <w:t>Testing shall cover each requirement of this standard applicable to the covered device and, where the monitoring system is submitted, to that system.</w:t>
      </w:r>
    </w:p>
    <w:p>
      <w:pPr>
        <w:ind w:left="432" w:hanging="432"/>
        <w:jc w:val="both"/>
      </w:pPr>
      <w:r>
        <w:rPr>
          <w:rFonts w:ascii="Times New Roman" w:hAnsi="Times New Roman"/>
          <w:b/>
          <w:sz w:val="22"/>
        </w:rPr>
        <w:t xml:space="preserve">(b)  </w:t>
      </w:r>
      <w:r>
        <w:rPr>
          <w:rFonts w:ascii="Times New Roman" w:hAnsi="Times New Roman"/>
          <w:sz w:val="22"/>
        </w:rPr>
        <w:t>Testing shall be performed against the prototype in the hardware and software identification that will be deployed, and shall include:</w:t>
      </w:r>
    </w:p>
    <w:p>
      <w:pPr>
        <w:ind w:left="864" w:hanging="432"/>
        <w:jc w:val="both"/>
      </w:pPr>
      <w:r>
        <w:rPr>
          <w:rFonts w:ascii="Times New Roman" w:hAnsi="Times New Roman"/>
          <w:b/>
          <w:sz w:val="22"/>
        </w:rPr>
        <w:t xml:space="preserve">(1)  </w:t>
      </w:r>
      <w:r>
        <w:rPr>
          <w:rFonts w:ascii="Times New Roman" w:hAnsi="Times New Roman"/>
          <w:sz w:val="22"/>
        </w:rPr>
        <w:t>execution of test cases sufficient to determine each matter in Part 810;</w:t>
      </w:r>
    </w:p>
    <w:p>
      <w:pPr>
        <w:ind w:left="864" w:hanging="432"/>
        <w:jc w:val="both"/>
      </w:pPr>
      <w:r>
        <w:rPr>
          <w:rFonts w:ascii="Times New Roman" w:hAnsi="Times New Roman"/>
          <w:b/>
          <w:sz w:val="22"/>
        </w:rPr>
        <w:t xml:space="preserve">(2)  </w:t>
      </w:r>
      <w:r>
        <w:rPr>
          <w:rFonts w:ascii="Times New Roman" w:hAnsi="Times New Roman"/>
          <w:sz w:val="22"/>
        </w:rPr>
        <w:t>examination of source code for each component within § 871(a);</w:t>
      </w:r>
    </w:p>
    <w:p>
      <w:pPr>
        <w:ind w:left="864" w:hanging="432"/>
        <w:jc w:val="both"/>
      </w:pPr>
      <w:r>
        <w:rPr>
          <w:rFonts w:ascii="Times New Roman" w:hAnsi="Times New Roman"/>
          <w:b/>
          <w:sz w:val="22"/>
        </w:rPr>
        <w:t xml:space="preserve">(3)  </w:t>
      </w:r>
      <w:r>
        <w:rPr>
          <w:rFonts w:ascii="Times New Roman" w:hAnsi="Times New Roman"/>
          <w:sz w:val="22"/>
        </w:rPr>
        <w:t>verification of each meter in § 841 against executed play;</w:t>
      </w:r>
    </w:p>
    <w:p>
      <w:pPr>
        <w:ind w:left="864" w:hanging="432"/>
        <w:jc w:val="both"/>
      </w:pPr>
      <w:r>
        <w:rPr>
          <w:rFonts w:ascii="Times New Roman" w:hAnsi="Times New Roman"/>
          <w:b/>
          <w:sz w:val="22"/>
        </w:rPr>
        <w:t xml:space="preserve">(4)  </w:t>
      </w:r>
      <w:r>
        <w:rPr>
          <w:rFonts w:ascii="Times New Roman" w:hAnsi="Times New Roman"/>
          <w:sz w:val="22"/>
        </w:rPr>
        <w:t>verification of the fail-safe behavior in § 805 by inducing each condition in § 805(b);</w:t>
      </w:r>
    </w:p>
    <w:p>
      <w:pPr>
        <w:ind w:left="864" w:hanging="432"/>
        <w:jc w:val="both"/>
      </w:pPr>
      <w:r>
        <w:rPr>
          <w:rFonts w:ascii="Times New Roman" w:hAnsi="Times New Roman"/>
          <w:b/>
          <w:sz w:val="22"/>
        </w:rPr>
        <w:t xml:space="preserve">(5)  </w:t>
      </w:r>
      <w:r>
        <w:rPr>
          <w:rFonts w:ascii="Times New Roman" w:hAnsi="Times New Roman"/>
          <w:sz w:val="22"/>
        </w:rPr>
        <w:t>verification of the enforcement in Part 830 at the boundary, by committing consideration at the limit, one increment below it, and one increment above it; and</w:t>
      </w:r>
    </w:p>
    <w:p>
      <w:pPr>
        <w:ind w:left="864" w:hanging="432"/>
        <w:jc w:val="both"/>
      </w:pPr>
      <w:r>
        <w:rPr>
          <w:rFonts w:ascii="Times New Roman" w:hAnsi="Times New Roman"/>
          <w:b/>
          <w:sz w:val="22"/>
        </w:rPr>
        <w:t xml:space="preserve">(6)  </w:t>
      </w:r>
      <w:r>
        <w:rPr>
          <w:rFonts w:ascii="Times New Roman" w:hAnsi="Times New Roman"/>
          <w:sz w:val="22"/>
        </w:rPr>
        <w:t>verification that the instrumentation in § 816 records each field for each of an available, an initiated but abandoned, and a completed skill event.</w:t>
      </w:r>
    </w:p>
    <w:p>
      <w:pPr>
        <w:pStyle w:val="Heading2"/>
      </w:pPr>
      <w:r>
        <w:rPr>
          <w:rFonts w:ascii="Times New Roman" w:hAnsi="Times New Roman"/>
          <w:b/>
          <w:color w:val="143C46"/>
          <w:sz w:val="23"/>
        </w:rPr>
        <w:t xml:space="preserve">§ 883.  </w:t>
      </w:r>
      <w:r>
        <w:rPr>
          <w:rFonts w:ascii="Times New Roman" w:hAnsi="Times New Roman"/>
          <w:b/>
          <w:color w:val="000000"/>
          <w:sz w:val="23"/>
        </w:rPr>
        <w:t>Contents of the report</w:t>
      </w:r>
    </w:p>
    <w:p>
      <w:pPr>
        <w:jc w:val="both"/>
      </w:pPr>
      <w:r>
        <w:rPr>
          <w:rFonts w:ascii="Times New Roman" w:hAnsi="Times New Roman"/>
          <w:sz w:val="22"/>
        </w:rPr>
        <w:t>A report shall state:</w:t>
      </w:r>
    </w:p>
    <w:p>
      <w:pPr>
        <w:ind w:left="432" w:hanging="432"/>
        <w:jc w:val="both"/>
      </w:pPr>
      <w:r>
        <w:rPr>
          <w:rFonts w:ascii="Times New Roman" w:hAnsi="Times New Roman"/>
          <w:b/>
          <w:sz w:val="22"/>
        </w:rPr>
        <w:t xml:space="preserve">(a)  </w:t>
      </w:r>
      <w:r>
        <w:rPr>
          <w:rFonts w:ascii="Times New Roman" w:hAnsi="Times New Roman"/>
          <w:sz w:val="22"/>
        </w:rPr>
        <w:t>the laboratory, its accreditation, and the individuals responsible;</w:t>
      </w:r>
    </w:p>
    <w:p>
      <w:pPr>
        <w:ind w:left="432" w:hanging="432"/>
        <w:jc w:val="both"/>
      </w:pPr>
      <w:r>
        <w:rPr>
          <w:rFonts w:ascii="Times New Roman" w:hAnsi="Times New Roman"/>
          <w:b/>
          <w:sz w:val="22"/>
        </w:rPr>
        <w:t xml:space="preserve">(b)  </w:t>
      </w:r>
      <w:r>
        <w:rPr>
          <w:rFonts w:ascii="Times New Roman" w:hAnsi="Times New Roman"/>
          <w:sz w:val="22"/>
        </w:rPr>
        <w:t>the covered device, the manufacturer, the model, and the software identification of each component examined;</w:t>
      </w:r>
    </w:p>
    <w:p>
      <w:pPr>
        <w:ind w:left="432" w:hanging="432"/>
        <w:jc w:val="both"/>
      </w:pPr>
      <w:r>
        <w:rPr>
          <w:rFonts w:ascii="Times New Roman" w:hAnsi="Times New Roman"/>
          <w:b/>
          <w:sz w:val="22"/>
        </w:rPr>
        <w:t xml:space="preserve">(c)  </w:t>
      </w:r>
      <w:r>
        <w:rPr>
          <w:rFonts w:ascii="Times New Roman" w:hAnsi="Times New Roman"/>
          <w:sz w:val="22"/>
        </w:rPr>
        <w:t>each configuration to which the report applies;</w:t>
      </w:r>
    </w:p>
    <w:p>
      <w:pPr>
        <w:ind w:left="432" w:hanging="432"/>
        <w:jc w:val="both"/>
      </w:pPr>
      <w:r>
        <w:rPr>
          <w:rFonts w:ascii="Times New Roman" w:hAnsi="Times New Roman"/>
          <w:b/>
          <w:sz w:val="22"/>
        </w:rPr>
        <w:t xml:space="preserve">(d)  </w:t>
      </w:r>
      <w:r>
        <w:rPr>
          <w:rFonts w:ascii="Times New Roman" w:hAnsi="Times New Roman"/>
          <w:sz w:val="22"/>
        </w:rPr>
        <w:t>each requirement tested, the test performed, and the result;</w:t>
      </w:r>
    </w:p>
    <w:p>
      <w:pPr>
        <w:ind w:left="432" w:hanging="432"/>
        <w:jc w:val="both"/>
      </w:pPr>
      <w:r>
        <w:rPr>
          <w:rFonts w:ascii="Times New Roman" w:hAnsi="Times New Roman"/>
          <w:b/>
          <w:sz w:val="22"/>
        </w:rPr>
        <w:t xml:space="preserve">(e)  </w:t>
      </w:r>
      <w:r>
        <w:rPr>
          <w:rFonts w:ascii="Times New Roman" w:hAnsi="Times New Roman"/>
          <w:sz w:val="22"/>
        </w:rPr>
        <w:t>the matters required by § 819;</w:t>
      </w:r>
    </w:p>
    <w:p>
      <w:pPr>
        <w:ind w:left="432" w:hanging="432"/>
        <w:jc w:val="both"/>
      </w:pPr>
      <w:r>
        <w:rPr>
          <w:rFonts w:ascii="Times New Roman" w:hAnsi="Times New Roman"/>
          <w:b/>
          <w:sz w:val="22"/>
        </w:rPr>
        <w:t xml:space="preserve">(f)  </w:t>
      </w:r>
      <w:r>
        <w:rPr>
          <w:rFonts w:ascii="Times New Roman" w:hAnsi="Times New Roman"/>
          <w:sz w:val="22"/>
        </w:rPr>
        <w:t>each requirement that was not tested and the reason;</w:t>
      </w:r>
    </w:p>
    <w:p>
      <w:pPr>
        <w:ind w:left="432" w:hanging="432"/>
        <w:jc w:val="both"/>
      </w:pPr>
      <w:r>
        <w:rPr>
          <w:rFonts w:ascii="Times New Roman" w:hAnsi="Times New Roman"/>
          <w:b/>
          <w:sz w:val="22"/>
        </w:rPr>
        <w:t xml:space="preserve">(g)  </w:t>
      </w:r>
      <w:r>
        <w:rPr>
          <w:rFonts w:ascii="Times New Roman" w:hAnsi="Times New Roman"/>
          <w:sz w:val="22"/>
        </w:rPr>
        <w:t>each deviation from this standard observed, and whether it was remedied before the report was issued; and</w:t>
      </w:r>
    </w:p>
    <w:p>
      <w:pPr>
        <w:ind w:left="432" w:hanging="432"/>
        <w:jc w:val="both"/>
      </w:pPr>
      <w:r>
        <w:rPr>
          <w:rFonts w:ascii="Times New Roman" w:hAnsi="Times New Roman"/>
          <w:b/>
          <w:sz w:val="22"/>
        </w:rPr>
        <w:t xml:space="preserve">(h)  </w:t>
      </w:r>
      <w:r>
        <w:rPr>
          <w:rFonts w:ascii="Times New Roman" w:hAnsi="Times New Roman"/>
          <w:sz w:val="22"/>
        </w:rPr>
        <w:t>the date of the report and the period for which it is valid under § 885.</w:t>
      </w:r>
    </w:p>
    <w:p>
      <w:pPr>
        <w:pStyle w:val="Heading2"/>
      </w:pPr>
      <w:r>
        <w:rPr>
          <w:rFonts w:ascii="Times New Roman" w:hAnsi="Times New Roman"/>
          <w:b/>
          <w:color w:val="143C46"/>
          <w:sz w:val="23"/>
        </w:rPr>
        <w:t xml:space="preserve">§ 884.  </w:t>
      </w:r>
      <w:r>
        <w:rPr>
          <w:rFonts w:ascii="Times New Roman" w:hAnsi="Times New Roman"/>
          <w:b/>
          <w:color w:val="000000"/>
          <w:sz w:val="23"/>
        </w:rPr>
        <w:t>Retest</w:t>
      </w:r>
    </w:p>
    <w:p>
      <w:pPr>
        <w:ind w:left="432" w:hanging="432"/>
        <w:jc w:val="both"/>
      </w:pPr>
      <w:r>
        <w:rPr>
          <w:rFonts w:ascii="Times New Roman" w:hAnsi="Times New Roman"/>
          <w:b/>
          <w:sz w:val="22"/>
        </w:rPr>
        <w:t xml:space="preserve">(a)  </w:t>
      </w:r>
      <w:r>
        <w:rPr>
          <w:rFonts w:ascii="Times New Roman" w:hAnsi="Times New Roman"/>
          <w:sz w:val="22"/>
        </w:rPr>
        <w:t>A further certification is required upon:</w:t>
      </w:r>
    </w:p>
    <w:p>
      <w:pPr>
        <w:ind w:left="864" w:hanging="432"/>
        <w:jc w:val="both"/>
      </w:pPr>
      <w:r>
        <w:rPr>
          <w:rFonts w:ascii="Times New Roman" w:hAnsi="Times New Roman"/>
          <w:b/>
          <w:sz w:val="22"/>
        </w:rPr>
        <w:t xml:space="preserve">(1)  </w:t>
      </w:r>
      <w:r>
        <w:rPr>
          <w:rFonts w:ascii="Times New Roman" w:hAnsi="Times New Roman"/>
          <w:sz w:val="22"/>
        </w:rPr>
        <w:t>a change to a component within § 871(a);</w:t>
      </w:r>
    </w:p>
    <w:p>
      <w:pPr>
        <w:ind w:left="864" w:hanging="432"/>
        <w:jc w:val="both"/>
      </w:pPr>
      <w:r>
        <w:rPr>
          <w:rFonts w:ascii="Times New Roman" w:hAnsi="Times New Roman"/>
          <w:b/>
          <w:sz w:val="22"/>
        </w:rPr>
        <w:t xml:space="preserve">(2)  </w:t>
      </w:r>
      <w:r>
        <w:rPr>
          <w:rFonts w:ascii="Times New Roman" w:hAnsi="Times New Roman"/>
          <w:sz w:val="22"/>
        </w:rPr>
        <w:t>a change to a configuration that affects the cost of a play, the award schedule, the theoretical return, or a skill element;</w:t>
      </w:r>
    </w:p>
    <w:p>
      <w:pPr>
        <w:ind w:left="864" w:hanging="432"/>
        <w:jc w:val="both"/>
      </w:pPr>
      <w:r>
        <w:rPr>
          <w:rFonts w:ascii="Times New Roman" w:hAnsi="Times New Roman"/>
          <w:b/>
          <w:sz w:val="22"/>
        </w:rPr>
        <w:t xml:space="preserve">(3)  </w:t>
      </w:r>
      <w:r>
        <w:rPr>
          <w:rFonts w:ascii="Times New Roman" w:hAnsi="Times New Roman"/>
          <w:sz w:val="22"/>
        </w:rPr>
        <w:t>a change to the monitoring system affecting a capability in § 852;</w:t>
      </w:r>
    </w:p>
    <w:p>
      <w:pPr>
        <w:ind w:left="864" w:hanging="432"/>
        <w:jc w:val="both"/>
      </w:pPr>
      <w:r>
        <w:rPr>
          <w:rFonts w:ascii="Times New Roman" w:hAnsi="Times New Roman"/>
          <w:b/>
          <w:sz w:val="22"/>
        </w:rPr>
        <w:t xml:space="preserve">(4)  </w:t>
      </w:r>
      <w:r>
        <w:rPr>
          <w:rFonts w:ascii="Times New Roman" w:hAnsi="Times New Roman"/>
          <w:sz w:val="22"/>
        </w:rPr>
        <w:t>the addition of a skill element, or the removal or disabling of one; and</w:t>
      </w:r>
    </w:p>
    <w:p>
      <w:pPr>
        <w:ind w:left="864" w:hanging="432"/>
        <w:jc w:val="both"/>
      </w:pPr>
      <w:r>
        <w:rPr>
          <w:rFonts w:ascii="Times New Roman" w:hAnsi="Times New Roman"/>
          <w:b/>
          <w:sz w:val="22"/>
        </w:rPr>
        <w:t xml:space="preserve">(5)  </w:t>
      </w:r>
      <w:r>
        <w:rPr>
          <w:rFonts w:ascii="Times New Roman" w:hAnsi="Times New Roman"/>
          <w:sz w:val="22"/>
        </w:rPr>
        <w:t>any event requiring reclassification under SBCGS-C § 109(a)(1).</w:t>
      </w:r>
    </w:p>
    <w:p>
      <w:pPr>
        <w:ind w:left="432" w:hanging="432"/>
        <w:jc w:val="both"/>
      </w:pPr>
      <w:r>
        <w:rPr>
          <w:rFonts w:ascii="Times New Roman" w:hAnsi="Times New Roman"/>
          <w:b/>
          <w:sz w:val="22"/>
        </w:rPr>
        <w:t xml:space="preserve">(b)  </w:t>
      </w:r>
      <w:r>
        <w:rPr>
          <w:rFonts w:ascii="Times New Roman" w:hAnsi="Times New Roman"/>
          <w:sz w:val="22"/>
        </w:rPr>
        <w:t>A change within subsection (a)(2) that does not affect a skill element may be certified by a report limited to the affected matters, which shall identify the report it supplements.</w:t>
      </w:r>
    </w:p>
    <w:p>
      <w:pPr>
        <w:pStyle w:val="Heading2"/>
      </w:pPr>
      <w:r>
        <w:rPr>
          <w:rFonts w:ascii="Times New Roman" w:hAnsi="Times New Roman"/>
          <w:b/>
          <w:color w:val="143C46"/>
          <w:sz w:val="23"/>
        </w:rPr>
        <w:t xml:space="preserve">§ 885.  </w:t>
      </w:r>
      <w:r>
        <w:rPr>
          <w:rFonts w:ascii="Times New Roman" w:hAnsi="Times New Roman"/>
          <w:b/>
          <w:color w:val="000000"/>
          <w:sz w:val="23"/>
        </w:rPr>
        <w:t>Certificate and term</w:t>
      </w:r>
    </w:p>
    <w:p>
      <w:pPr>
        <w:ind w:left="432" w:hanging="432"/>
        <w:jc w:val="both"/>
      </w:pPr>
      <w:r>
        <w:rPr>
          <w:rFonts w:ascii="Times New Roman" w:hAnsi="Times New Roman"/>
          <w:b/>
          <w:sz w:val="22"/>
        </w:rPr>
        <w:t xml:space="preserve">(a)  </w:t>
      </w:r>
      <w:r>
        <w:rPr>
          <w:rFonts w:ascii="Times New Roman" w:hAnsi="Times New Roman"/>
          <w:sz w:val="22"/>
        </w:rPr>
        <w:t>A certification is valid for the configuration and the software identification stated in the report, for a period not exceeding thirty six months, and thereafter until a further report is issued if one has been requested before expiry.</w:t>
      </w:r>
    </w:p>
    <w:p>
      <w:pPr>
        <w:ind w:left="432" w:hanging="432"/>
        <w:jc w:val="both"/>
      </w:pPr>
      <w:r>
        <w:rPr>
          <w:rFonts w:ascii="Times New Roman" w:hAnsi="Times New Roman"/>
          <w:b/>
          <w:sz w:val="22"/>
        </w:rPr>
        <w:t xml:space="preserve">(b)  </w:t>
      </w:r>
      <w:r>
        <w:rPr>
          <w:rFonts w:ascii="Times New Roman" w:hAnsi="Times New Roman"/>
          <w:sz w:val="22"/>
        </w:rPr>
        <w:t>A covered operator shall not represent that a covered device is certified other than by reference to a report meeting § 883.</w:t>
      </w:r>
    </w:p>
    <w:p>
      <w:pPr>
        <w:ind w:left="432" w:hanging="432"/>
        <w:jc w:val="both"/>
      </w:pPr>
      <w:r>
        <w:rPr>
          <w:rFonts w:ascii="Times New Roman" w:hAnsi="Times New Roman"/>
          <w:b/>
          <w:sz w:val="22"/>
        </w:rPr>
        <w:t xml:space="preserve">(c)  </w:t>
      </w:r>
      <w:r>
        <w:rPr>
          <w:rFonts w:ascii="Times New Roman" w:hAnsi="Times New Roman"/>
          <w:sz w:val="22"/>
        </w:rPr>
        <w:t>A certification under this standard is not an approval by a regulatory authority and shall not be presented as one.</w:t>
      </w:r>
    </w:p>
    <w:p>
      <w:r>
        <w:br w:type="page"/>
      </w:r>
    </w:p>
    <w:p>
      <w:pPr>
        <w:spacing w:after="40"/>
      </w:pPr>
      <w:r>
        <w:rPr>
          <w:rFonts w:ascii="Calibri" w:hAnsi="Calibri"/>
          <w:b/>
          <w:color w:val="143C46"/>
          <w:sz w:val="18"/>
        </w:rPr>
        <w:t>APPENDIX A</w:t>
      </w:r>
    </w:p>
    <w:p>
      <w:pPr>
        <w:pStyle w:val="Heading1"/>
        <w:spacing w:before="0"/>
        <w:pBdr>
          <w:bottom w:val="single" w:sz="8" w:space="6" w:color="143C46"/>
        </w:pBdr>
      </w:pPr>
      <w:r>
        <w:rPr>
          <w:rFonts w:ascii="Times New Roman" w:hAnsi="Times New Roman"/>
          <w:b/>
          <w:color w:val="000000"/>
          <w:sz w:val="30"/>
        </w:rPr>
        <w:t>Test Cases for Part 810</w:t>
      </w:r>
    </w:p>
    <w:p>
      <w:pPr>
        <w:jc w:val="both"/>
      </w:pPr>
      <w:r>
        <w:rPr>
          <w:rFonts w:ascii="Times New Roman" w:hAnsi="Times New Roman"/>
          <w:sz w:val="22"/>
        </w:rPr>
        <w:t>The following test cases are illustrative of what a report under § 883 is expected to record. They are not exhaustive and a laboratory remains responsible for designing tests sufficient to support its conclusions.</w:t>
      </w:r>
    </w:p>
    <w:tbl>
      <w:tblPr>
        <w:tblStyle w:val="TableGrid"/>
        <w:tblW w:type="auto" w:w="0"/>
        <w:jc w:val="center"/>
        <w:tblLayout w:type="autofit"/>
        <w:tblLook w:firstColumn="1" w:firstRow="1" w:lastColumn="0" w:lastRow="0" w:noHBand="0" w:noVBand="1" w:val="04A0"/>
      </w:tblPr>
      <w:tblGrid>
        <w:gridCol w:w="2976"/>
        <w:gridCol w:w="2976"/>
        <w:gridCol w:w="2976"/>
      </w:tblGrid>
      <w:tr>
        <w:tc>
          <w:tcPr>
            <w:tcW w:type="dxa" w:w="2976"/>
            <w:shd w:val="clear" w:color="auto" w:fill="E8ECEE"/>
          </w:tcPr>
          <w:p>
            <w:pPr>
              <w:spacing w:after="40" w:before="40"/>
            </w:pPr>
            <w:r/>
            <w:r>
              <w:rPr>
                <w:rFonts w:ascii="Calibri" w:hAnsi="Calibri"/>
                <w:b/>
                <w:sz w:val="16"/>
              </w:rPr>
              <w:t>Requirement</w:t>
            </w:r>
          </w:p>
        </w:tc>
        <w:tc>
          <w:tcPr>
            <w:tcW w:type="dxa" w:w="2976"/>
            <w:shd w:val="clear" w:color="auto" w:fill="E8ECEE"/>
          </w:tcPr>
          <w:p>
            <w:pPr>
              <w:spacing w:after="40" w:before="40"/>
            </w:pPr>
            <w:r/>
            <w:r>
              <w:rPr>
                <w:rFonts w:ascii="Calibri" w:hAnsi="Calibri"/>
                <w:b/>
                <w:sz w:val="16"/>
              </w:rPr>
              <w:t>Test</w:t>
            </w:r>
          </w:p>
        </w:tc>
        <w:tc>
          <w:tcPr>
            <w:tcW w:type="dxa" w:w="2976"/>
            <w:shd w:val="clear" w:color="auto" w:fill="E8ECEE"/>
          </w:tcPr>
          <w:p>
            <w:pPr>
              <w:spacing w:after="40" w:before="40"/>
            </w:pPr>
            <w:r/>
            <w:r>
              <w:rPr>
                <w:rFonts w:ascii="Calibri" w:hAnsi="Calibri"/>
                <w:b/>
                <w:sz w:val="16"/>
              </w:rPr>
              <w:t>Expected result</w:t>
            </w:r>
          </w:p>
        </w:tc>
      </w:tr>
      <w:tr>
        <w:tc>
          <w:tcPr>
            <w:tcW w:type="dxa" w:w="2976"/>
          </w:tcPr>
          <w:p>
            <w:pPr>
              <w:spacing w:after="40" w:before="40"/>
            </w:pPr>
            <w:r/>
            <w:r>
              <w:rPr>
                <w:rFonts w:ascii="Times New Roman" w:hAnsi="Times New Roman"/>
                <w:sz w:val="17"/>
              </w:rPr>
              <w:t>§ 812</w:t>
            </w:r>
          </w:p>
        </w:tc>
        <w:tc>
          <w:tcPr>
            <w:tcW w:type="dxa" w:w="2976"/>
          </w:tcPr>
          <w:p>
            <w:pPr>
              <w:spacing w:after="40" w:before="40"/>
            </w:pPr>
            <w:r/>
            <w:r>
              <w:rPr>
                <w:rFonts w:ascii="Times New Roman" w:hAnsi="Times New Roman"/>
                <w:sz w:val="17"/>
              </w:rPr>
              <w:t>Simulate ten million plays under the optimal strategy at the minimum and the maximum amount that may be committed</w:t>
            </w:r>
          </w:p>
        </w:tc>
        <w:tc>
          <w:tcPr>
            <w:tcW w:type="dxa" w:w="2976"/>
          </w:tcPr>
          <w:p>
            <w:pPr>
              <w:spacing w:after="40" w:before="40"/>
            </w:pPr>
            <w:r/>
            <w:r>
              <w:rPr>
                <w:rFonts w:ascii="Times New Roman" w:hAnsi="Times New Roman"/>
                <w:sz w:val="17"/>
              </w:rPr>
              <w:t>Return stated to one decimal place, confidence interval half width not exceeding 0.1 percentage points</w:t>
            </w:r>
          </w:p>
        </w:tc>
      </w:tr>
      <w:tr>
        <w:tc>
          <w:tcPr>
            <w:tcW w:type="dxa" w:w="2976"/>
          </w:tcPr>
          <w:p>
            <w:pPr>
              <w:spacing w:after="40" w:before="40"/>
            </w:pPr>
            <w:r/>
            <w:r>
              <w:rPr>
                <w:rFonts w:ascii="Times New Roman" w:hAnsi="Times New Roman"/>
                <w:sz w:val="17"/>
              </w:rPr>
              <w:t>§ 813</w:t>
            </w:r>
          </w:p>
        </w:tc>
        <w:tc>
          <w:tcPr>
            <w:tcW w:type="dxa" w:w="2976"/>
          </w:tcPr>
          <w:p>
            <w:pPr>
              <w:spacing w:after="40" w:before="40"/>
            </w:pPr>
            <w:r/>
            <w:r>
              <w:rPr>
                <w:rFonts w:ascii="Times New Roman" w:hAnsi="Times New Roman"/>
                <w:sz w:val="17"/>
              </w:rPr>
              <w:t>Repeat under the null strategy, taking no action where the product advances without one, and the least effortful action where it does not</w:t>
            </w:r>
          </w:p>
        </w:tc>
        <w:tc>
          <w:tcPr>
            <w:tcW w:type="dxa" w:w="2976"/>
          </w:tcPr>
          <w:p>
            <w:pPr>
              <w:spacing w:after="40" w:before="40"/>
            </w:pPr>
            <w:r/>
            <w:r>
              <w:rPr>
                <w:rFonts w:ascii="Times New Roman" w:hAnsi="Times New Roman"/>
                <w:sz w:val="17"/>
              </w:rPr>
              <w:t>Return stated on the same basis, null strategy described</w:t>
            </w:r>
          </w:p>
        </w:tc>
      </w:tr>
      <w:tr>
        <w:tc>
          <w:tcPr>
            <w:tcW w:type="dxa" w:w="2976"/>
          </w:tcPr>
          <w:p>
            <w:pPr>
              <w:spacing w:after="40" w:before="40"/>
            </w:pPr>
            <w:r/>
            <w:r>
              <w:rPr>
                <w:rFonts w:ascii="Times New Roman" w:hAnsi="Times New Roman"/>
                <w:sz w:val="17"/>
              </w:rPr>
              <w:t>§ 814</w:t>
            </w:r>
          </w:p>
        </w:tc>
        <w:tc>
          <w:tcPr>
            <w:tcW w:type="dxa" w:w="2976"/>
          </w:tcPr>
          <w:p>
            <w:pPr>
              <w:spacing w:after="40" w:before="40"/>
            </w:pPr>
            <w:r/>
            <w:r>
              <w:rPr>
                <w:rFonts w:ascii="Times New Roman" w:hAnsi="Times New Roman"/>
                <w:sz w:val="17"/>
              </w:rPr>
              <w:t>Subtract</w:t>
            </w:r>
          </w:p>
        </w:tc>
        <w:tc>
          <w:tcPr>
            <w:tcW w:type="dxa" w:w="2976"/>
          </w:tcPr>
          <w:p>
            <w:pPr>
              <w:spacing w:after="40" w:before="40"/>
            </w:pPr>
            <w:r/>
            <w:r>
              <w:rPr>
                <w:rFonts w:ascii="Times New Roman" w:hAnsi="Times New Roman"/>
                <w:sz w:val="17"/>
              </w:rPr>
              <w:t>Skill influence range, reported for each amount</w:t>
            </w:r>
          </w:p>
        </w:tc>
      </w:tr>
      <w:tr>
        <w:tc>
          <w:tcPr>
            <w:tcW w:type="dxa" w:w="2976"/>
          </w:tcPr>
          <w:p>
            <w:pPr>
              <w:spacing w:after="40" w:before="40"/>
            </w:pPr>
            <w:r/>
            <w:r>
              <w:rPr>
                <w:rFonts w:ascii="Times New Roman" w:hAnsi="Times New Roman"/>
                <w:sz w:val="17"/>
              </w:rPr>
              <w:t>§ 815(b)</w:t>
            </w:r>
          </w:p>
        </w:tc>
        <w:tc>
          <w:tcPr>
            <w:tcW w:type="dxa" w:w="2976"/>
          </w:tcPr>
          <w:p>
            <w:pPr>
              <w:spacing w:after="40" w:before="40"/>
            </w:pPr>
            <w:r/>
            <w:r>
              <w:rPr>
                <w:rFonts w:ascii="Times New Roman" w:hAnsi="Times New Roman"/>
                <w:sz w:val="17"/>
              </w:rPr>
              <w:t>From the idle state, request the rules of play; read them</w:t>
            </w:r>
          </w:p>
        </w:tc>
        <w:tc>
          <w:tcPr>
            <w:tcW w:type="dxa" w:w="2976"/>
          </w:tcPr>
          <w:p>
            <w:pPr>
              <w:spacing w:after="40" w:before="40"/>
            </w:pPr>
            <w:r/>
            <w:r>
              <w:rPr>
                <w:rFonts w:ascii="Times New Roman" w:hAnsi="Times New Roman"/>
                <w:sz w:val="17"/>
              </w:rPr>
              <w:t>Rules state the existence of the skill element, how it is reached, what the player does, and what the player receives</w:t>
            </w:r>
          </w:p>
        </w:tc>
      </w:tr>
      <w:tr>
        <w:tc>
          <w:tcPr>
            <w:tcW w:type="dxa" w:w="2976"/>
          </w:tcPr>
          <w:p>
            <w:pPr>
              <w:spacing w:after="40" w:before="40"/>
            </w:pPr>
            <w:r/>
            <w:r>
              <w:rPr>
                <w:rFonts w:ascii="Times New Roman" w:hAnsi="Times New Roman"/>
                <w:sz w:val="17"/>
              </w:rPr>
              <w:t>§ 815(c)</w:t>
            </w:r>
          </w:p>
        </w:tc>
        <w:tc>
          <w:tcPr>
            <w:tcW w:type="dxa" w:w="2976"/>
          </w:tcPr>
          <w:p>
            <w:pPr>
              <w:spacing w:after="40" w:before="40"/>
            </w:pPr>
            <w:r/>
            <w:r>
              <w:rPr>
                <w:rFonts w:ascii="Times New Roman" w:hAnsi="Times New Roman"/>
                <w:sz w:val="17"/>
              </w:rPr>
              <w:t>Attempt to reach the skill element using only what the device presents</w:t>
            </w:r>
          </w:p>
        </w:tc>
        <w:tc>
          <w:tcPr>
            <w:tcW w:type="dxa" w:w="2976"/>
          </w:tcPr>
          <w:p>
            <w:pPr>
              <w:spacing w:after="40" w:before="40"/>
            </w:pPr>
            <w:r/>
            <w:r>
              <w:rPr>
                <w:rFonts w:ascii="Times New Roman" w:hAnsi="Times New Roman"/>
                <w:sz w:val="17"/>
              </w:rPr>
              <w:t>Element reached</w:t>
            </w:r>
          </w:p>
        </w:tc>
      </w:tr>
      <w:tr>
        <w:tc>
          <w:tcPr>
            <w:tcW w:type="dxa" w:w="2976"/>
          </w:tcPr>
          <w:p>
            <w:pPr>
              <w:spacing w:after="40" w:before="40"/>
            </w:pPr>
            <w:r/>
            <w:r>
              <w:rPr>
                <w:rFonts w:ascii="Times New Roman" w:hAnsi="Times New Roman"/>
                <w:sz w:val="17"/>
              </w:rPr>
              <w:t>§ 815(d)(2)</w:t>
            </w:r>
          </w:p>
        </w:tc>
        <w:tc>
          <w:tcPr>
            <w:tcW w:type="dxa" w:w="2976"/>
          </w:tcPr>
          <w:p>
            <w:pPr>
              <w:spacing w:after="40" w:before="40"/>
            </w:pPr>
            <w:r/>
            <w:r>
              <w:rPr>
                <w:rFonts w:ascii="Times New Roman" w:hAnsi="Times New Roman"/>
                <w:sz w:val="17"/>
              </w:rPr>
              <w:t>Produce a play on which the element becomes available; measure the period for which the prompt remains actionable and the period for which a further play may be committed</w:t>
            </w:r>
          </w:p>
        </w:tc>
        <w:tc>
          <w:tcPr>
            <w:tcW w:type="dxa" w:w="2976"/>
          </w:tcPr>
          <w:p>
            <w:pPr>
              <w:spacing w:after="40" w:before="40"/>
            </w:pPr>
            <w:r/>
            <w:r>
              <w:rPr>
                <w:rFonts w:ascii="Times New Roman" w:hAnsi="Times New Roman"/>
                <w:sz w:val="17"/>
              </w:rPr>
              <w:t>Prompt period not shorter than the greater of fifteen seconds or the commit period</w:t>
            </w:r>
          </w:p>
        </w:tc>
      </w:tr>
      <w:tr>
        <w:tc>
          <w:tcPr>
            <w:tcW w:type="dxa" w:w="2976"/>
          </w:tcPr>
          <w:p>
            <w:pPr>
              <w:spacing w:after="40" w:before="40"/>
            </w:pPr>
            <w:r/>
            <w:r>
              <w:rPr>
                <w:rFonts w:ascii="Times New Roman" w:hAnsi="Times New Roman"/>
                <w:sz w:val="17"/>
              </w:rPr>
              <w:t>§ 815(e)</w:t>
            </w:r>
          </w:p>
        </w:tc>
        <w:tc>
          <w:tcPr>
            <w:tcW w:type="dxa" w:w="2976"/>
          </w:tcPr>
          <w:p>
            <w:pPr>
              <w:spacing w:after="40" w:before="40"/>
            </w:pPr>
            <w:r/>
            <w:r>
              <w:rPr>
                <w:rFonts w:ascii="Times New Roman" w:hAnsi="Times New Roman"/>
                <w:sz w:val="17"/>
              </w:rPr>
              <w:t>Execute the skill element under the optimal strategy thirty times, and a base play thirty times; take the medians</w:t>
            </w:r>
          </w:p>
        </w:tc>
        <w:tc>
          <w:tcPr>
            <w:tcW w:type="dxa" w:w="2976"/>
          </w:tcPr>
          <w:p>
            <w:pPr>
              <w:spacing w:after="40" w:before="40"/>
            </w:pPr>
            <w:r/>
            <w:r>
              <w:rPr>
                <w:rFonts w:ascii="Times New Roman" w:hAnsi="Times New Roman"/>
                <w:sz w:val="17"/>
              </w:rPr>
              <w:t>Skill time cost ratio not exceeding twenty, both medians stated in seconds</w:t>
            </w:r>
          </w:p>
        </w:tc>
      </w:tr>
      <w:tr>
        <w:tc>
          <w:tcPr>
            <w:tcW w:type="dxa" w:w="2976"/>
          </w:tcPr>
          <w:p>
            <w:pPr>
              <w:spacing w:after="40" w:before="40"/>
            </w:pPr>
            <w:r/>
            <w:r>
              <w:rPr>
                <w:rFonts w:ascii="Times New Roman" w:hAnsi="Times New Roman"/>
                <w:sz w:val="17"/>
              </w:rPr>
              <w:t>§ 816</w:t>
            </w:r>
          </w:p>
        </w:tc>
        <w:tc>
          <w:tcPr>
            <w:tcW w:type="dxa" w:w="2976"/>
          </w:tcPr>
          <w:p>
            <w:pPr>
              <w:spacing w:after="40" w:before="40"/>
            </w:pPr>
            <w:r/>
            <w:r>
              <w:rPr>
                <w:rFonts w:ascii="Times New Roman" w:hAnsi="Times New Roman"/>
                <w:sz w:val="17"/>
              </w:rPr>
              <w:t>Produce one available, one initiated and abandoned, and one completed skill event; export the records</w:t>
            </w:r>
          </w:p>
        </w:tc>
        <w:tc>
          <w:tcPr>
            <w:tcW w:type="dxa" w:w="2976"/>
          </w:tcPr>
          <w:p>
            <w:pPr>
              <w:spacing w:after="40" w:before="40"/>
            </w:pPr>
            <w:r/>
            <w:r>
              <w:rPr>
                <w:rFonts w:ascii="Times New Roman" w:hAnsi="Times New Roman"/>
                <w:sz w:val="17"/>
              </w:rPr>
              <w:t>Each field in § 816(a) populated correctly for each of the three</w:t>
            </w:r>
          </w:p>
        </w:tc>
      </w:tr>
      <w:tr>
        <w:tc>
          <w:tcPr>
            <w:tcW w:type="dxa" w:w="2976"/>
          </w:tcPr>
          <w:p>
            <w:pPr>
              <w:spacing w:after="40" w:before="40"/>
            </w:pPr>
            <w:r/>
            <w:r>
              <w:rPr>
                <w:rFonts w:ascii="Times New Roman" w:hAnsi="Times New Roman"/>
                <w:sz w:val="17"/>
              </w:rPr>
              <w:t>§ 817(b)</w:t>
            </w:r>
          </w:p>
        </w:tc>
        <w:tc>
          <w:tcPr>
            <w:tcW w:type="dxa" w:w="2976"/>
          </w:tcPr>
          <w:p>
            <w:pPr>
              <w:spacing w:after="40" w:before="40"/>
            </w:pPr>
            <w:r/>
            <w:r>
              <w:rPr>
                <w:rFonts w:ascii="Times New Roman" w:hAnsi="Times New Roman"/>
                <w:sz w:val="17"/>
              </w:rPr>
              <w:t>Instrument the RNG interface; execute one hundred skill elements</w:t>
            </w:r>
          </w:p>
        </w:tc>
        <w:tc>
          <w:tcPr>
            <w:tcW w:type="dxa" w:w="2976"/>
          </w:tcPr>
          <w:p>
            <w:pPr>
              <w:spacing w:after="40" w:before="40"/>
            </w:pPr>
            <w:r/>
            <w:r>
              <w:rPr>
                <w:rFonts w:ascii="Times New Roman" w:hAnsi="Times New Roman"/>
                <w:sz w:val="17"/>
              </w:rPr>
              <w:t>No RNG consultation between the start of the element and the determination of its success</w:t>
            </w:r>
          </w:p>
        </w:tc>
      </w:tr>
      <w:tr>
        <w:tc>
          <w:tcPr>
            <w:tcW w:type="dxa" w:w="2976"/>
          </w:tcPr>
          <w:p>
            <w:pPr>
              <w:spacing w:after="40" w:before="40"/>
            </w:pPr>
            <w:r/>
            <w:r>
              <w:rPr>
                <w:rFonts w:ascii="Times New Roman" w:hAnsi="Times New Roman"/>
                <w:sz w:val="17"/>
              </w:rPr>
              <w:t>§ 818(a)</w:t>
            </w:r>
          </w:p>
        </w:tc>
        <w:tc>
          <w:tcPr>
            <w:tcW w:type="dxa" w:w="2976"/>
          </w:tcPr>
          <w:p>
            <w:pPr>
              <w:spacing w:after="40" w:before="40"/>
            </w:pPr>
            <w:r/>
            <w:r>
              <w:rPr>
                <w:rFonts w:ascii="Times New Roman" w:hAnsi="Times New Roman"/>
                <w:sz w:val="17"/>
              </w:rPr>
              <w:t>Execute two hundred plays completing every skill element, then two hundred completing none; compare availability, difficulty, and value</w:t>
            </w:r>
          </w:p>
        </w:tc>
        <w:tc>
          <w:tcPr>
            <w:tcW w:type="dxa" w:w="2976"/>
          </w:tcPr>
          <w:p>
            <w:pPr>
              <w:spacing w:after="40" w:before="40"/>
            </w:pPr>
            <w:r/>
            <w:r>
              <w:rPr>
                <w:rFonts w:ascii="Times New Roman" w:hAnsi="Times New Roman"/>
                <w:sz w:val="17"/>
              </w:rPr>
              <w:t>No difference outside sampling variation</w:t>
            </w:r>
          </w:p>
        </w:tc>
      </w:tr>
      <w:tr>
        <w:tc>
          <w:tcPr>
            <w:tcW w:type="dxa" w:w="2976"/>
          </w:tcPr>
          <w:p>
            <w:pPr>
              <w:spacing w:after="40" w:before="40"/>
            </w:pPr>
            <w:r/>
            <w:r>
              <w:rPr>
                <w:rFonts w:ascii="Times New Roman" w:hAnsi="Times New Roman"/>
                <w:sz w:val="17"/>
              </w:rPr>
              <w:t>§ 818(c)</w:t>
            </w:r>
          </w:p>
        </w:tc>
        <w:tc>
          <w:tcPr>
            <w:tcW w:type="dxa" w:w="2976"/>
          </w:tcPr>
          <w:p>
            <w:pPr>
              <w:spacing w:after="40" w:before="40"/>
            </w:pPr>
            <w:r/>
            <w:r>
              <w:rPr>
                <w:rFonts w:ascii="Times New Roman" w:hAnsi="Times New Roman"/>
                <w:sz w:val="17"/>
              </w:rPr>
              <w:t>Compare the value returned for completing the element with the value returned for not completing it</w:t>
            </w:r>
          </w:p>
        </w:tc>
        <w:tc>
          <w:tcPr>
            <w:tcW w:type="dxa" w:w="2976"/>
          </w:tcPr>
          <w:p>
            <w:pPr>
              <w:spacing w:after="40" w:before="40"/>
            </w:pPr>
            <w:r/>
            <w:r>
              <w:rPr>
                <w:rFonts w:ascii="Times New Roman" w:hAnsi="Times New Roman"/>
                <w:sz w:val="17"/>
              </w:rPr>
              <w:t>Completion returns more</w:t>
            </w:r>
          </w:p>
        </w:tc>
      </w:tr>
      <w:tr>
        <w:tc>
          <w:tcPr>
            <w:tcW w:type="dxa" w:w="2976"/>
          </w:tcPr>
          <w:p>
            <w:pPr>
              <w:spacing w:after="40" w:before="40"/>
            </w:pPr>
            <w:r/>
            <w:r>
              <w:rPr>
                <w:rFonts w:ascii="Times New Roman" w:hAnsi="Times New Roman"/>
                <w:sz w:val="17"/>
              </w:rPr>
              <w:t>§ 818(d)</w:t>
            </w:r>
          </w:p>
        </w:tc>
        <w:tc>
          <w:tcPr>
            <w:tcW w:type="dxa" w:w="2976"/>
          </w:tcPr>
          <w:p>
            <w:pPr>
              <w:spacing w:after="40" w:before="40"/>
            </w:pPr>
            <w:r/>
            <w:r>
              <w:rPr>
                <w:rFonts w:ascii="Times New Roman" w:hAnsi="Times New Roman"/>
                <w:sz w:val="17"/>
              </w:rPr>
              <w:t>Identify each player input in the play sequence; for each, execute the play holding all else constant with the input made and not made</w:t>
            </w:r>
          </w:p>
        </w:tc>
        <w:tc>
          <w:tcPr>
            <w:tcW w:type="dxa" w:w="2976"/>
          </w:tcPr>
          <w:p>
            <w:pPr>
              <w:spacing w:after="40" w:before="40"/>
            </w:pPr>
            <w:r/>
            <w:r>
              <w:rPr>
                <w:rFonts w:ascii="Times New Roman" w:hAnsi="Times New Roman"/>
                <w:sz w:val="17"/>
              </w:rPr>
              <w:t>Every input represented as a skill element changes the value returned</w:t>
            </w:r>
          </w:p>
        </w:tc>
      </w:tr>
      <w:tr>
        <w:tc>
          <w:tcPr>
            <w:tcW w:type="dxa" w:w="2976"/>
          </w:tcPr>
          <w:p>
            <w:pPr>
              <w:spacing w:after="40" w:before="40"/>
            </w:pPr>
            <w:r/>
            <w:r>
              <w:rPr>
                <w:rFonts w:ascii="Times New Roman" w:hAnsi="Times New Roman"/>
                <w:sz w:val="17"/>
              </w:rPr>
              <w:t>§ 818(f)</w:t>
            </w:r>
          </w:p>
        </w:tc>
        <w:tc>
          <w:tcPr>
            <w:tcW w:type="dxa" w:w="2976"/>
          </w:tcPr>
          <w:p>
            <w:pPr>
              <w:spacing w:after="40" w:before="40"/>
            </w:pPr>
            <w:r/>
            <w:r>
              <w:rPr>
                <w:rFonts w:ascii="Times New Roman" w:hAnsi="Times New Roman"/>
                <w:sz w:val="17"/>
              </w:rPr>
              <w:t>Record the screen position and timing of the skill prompt and of the control that commits a further play</w:t>
            </w:r>
          </w:p>
        </w:tc>
        <w:tc>
          <w:tcPr>
            <w:tcW w:type="dxa" w:w="2976"/>
          </w:tcPr>
          <w:p>
            <w:pPr>
              <w:spacing w:after="40" w:before="40"/>
            </w:pPr>
            <w:r/>
            <w:r>
              <w:rPr>
                <w:rFonts w:ascii="Times New Roman" w:hAnsi="Times New Roman"/>
                <w:sz w:val="17"/>
              </w:rPr>
              <w:t>Prompt does not occupy the position the commit control occupies within two seconds</w:t>
            </w:r>
          </w:p>
        </w:tc>
      </w:tr>
      <w:tr>
        <w:tc>
          <w:tcPr>
            <w:tcW w:type="dxa" w:w="2976"/>
          </w:tcPr>
          <w:p>
            <w:pPr>
              <w:spacing w:after="40" w:before="40"/>
            </w:pPr>
            <w:r/>
            <w:r>
              <w:rPr>
                <w:rFonts w:ascii="Times New Roman" w:hAnsi="Times New Roman"/>
                <w:sz w:val="17"/>
              </w:rPr>
              <w:t>§ 818(h)</w:t>
            </w:r>
          </w:p>
        </w:tc>
        <w:tc>
          <w:tcPr>
            <w:tcW w:type="dxa" w:w="2976"/>
          </w:tcPr>
          <w:p>
            <w:pPr>
              <w:spacing w:after="40" w:before="40"/>
            </w:pPr>
            <w:r/>
            <w:r>
              <w:rPr>
                <w:rFonts w:ascii="Times New Roman" w:hAnsi="Times New Roman"/>
                <w:sz w:val="17"/>
              </w:rPr>
              <w:t>Count player actions from the availability of the element to its commencement</w:t>
            </w:r>
          </w:p>
        </w:tc>
        <w:tc>
          <w:tcPr>
            <w:tcW w:type="dxa" w:w="2976"/>
          </w:tcPr>
          <w:p>
            <w:pPr>
              <w:spacing w:after="40" w:before="40"/>
            </w:pPr>
            <w:r/>
            <w:r>
              <w:rPr>
                <w:rFonts w:ascii="Times New Roman" w:hAnsi="Times New Roman"/>
                <w:sz w:val="17"/>
              </w:rPr>
              <w:t>Not more than three</w:t>
            </w:r>
          </w:p>
        </w:tc>
      </w:tr>
    </w:tbl>
    <w:p>
      <w:pPr>
        <w:spacing w:after="80"/>
      </w:pPr>
    </w:p>
    <w:p>
      <w:r>
        <w:br w:type="page"/>
      </w:r>
    </w:p>
    <w:p>
      <w:pPr>
        <w:spacing w:after="40"/>
      </w:pPr>
      <w:r>
        <w:rPr>
          <w:rFonts w:ascii="Calibri" w:hAnsi="Calibri"/>
          <w:b/>
          <w:color w:val="143C46"/>
          <w:sz w:val="18"/>
        </w:rPr>
        <w:t>APPENDIX B</w:t>
      </w:r>
    </w:p>
    <w:p>
      <w:pPr>
        <w:pStyle w:val="Heading1"/>
        <w:spacing w:before="0"/>
        <w:pBdr>
          <w:bottom w:val="single" w:sz="8" w:space="6" w:color="143C46"/>
        </w:pBdr>
      </w:pPr>
      <w:r>
        <w:rPr>
          <w:rFonts w:ascii="Times New Roman" w:hAnsi="Times New Roman"/>
          <w:b/>
          <w:color w:val="000000"/>
          <w:sz w:val="30"/>
        </w:rPr>
        <w:t>Matters on Which Comment Is Invited</w:t>
      </w:r>
    </w:p>
    <w:p>
      <w:pPr>
        <w:spacing w:after="120"/>
        <w:ind w:left="504" w:hanging="504"/>
      </w:pPr>
      <w:r>
        <w:rPr>
          <w:rFonts w:ascii="Times New Roman" w:hAnsi="Times New Roman"/>
          <w:b/>
          <w:sz w:val="22"/>
        </w:rPr>
        <w:t xml:space="preserve">1.   </w:t>
      </w:r>
      <w:r>
        <w:rPr>
          <w:rFonts w:ascii="Times New Roman" w:hAnsi="Times New Roman"/>
          <w:b/>
          <w:sz w:val="22"/>
        </w:rPr>
        <w:t>The simulation requirements in § 812(c).</w:t>
      </w:r>
      <w:r>
        <w:rPr>
          <w:rFonts w:ascii="Times New Roman" w:hAnsi="Times New Roman"/>
          <w:sz w:val="22"/>
        </w:rPr>
        <w:t xml:space="preserve"> Ten million plays per configuration and a confidence interval half width of one tenth of one percentage point. Comment is invited on whether these are attainable at reasonable cost for a small manufacturer, and on whether a tiered requirement keyed to the size of the skill influence range would be preferable.</w:t>
      </w:r>
    </w:p>
    <w:p>
      <w:pPr>
        <w:spacing w:after="120"/>
        <w:ind w:left="504" w:hanging="504"/>
      </w:pPr>
      <w:r>
        <w:rPr>
          <w:rFonts w:ascii="Times New Roman" w:hAnsi="Times New Roman"/>
          <w:b/>
          <w:sz w:val="22"/>
        </w:rPr>
        <w:t xml:space="preserve">2.   </w:t>
      </w:r>
      <w:r>
        <w:rPr>
          <w:rFonts w:ascii="Times New Roman" w:hAnsi="Times New Roman"/>
          <w:b/>
          <w:sz w:val="22"/>
        </w:rPr>
        <w:t>The null strategy in § 813(b).</w:t>
      </w:r>
      <w:r>
        <w:rPr>
          <w:rFonts w:ascii="Times New Roman" w:hAnsi="Times New Roman"/>
          <w:sz w:val="22"/>
        </w:rPr>
        <w:t xml:space="preserve"> The definition determines the whole of the measurement, and the Institute is aware that it can be contested for products in which the player must act for the play to resolve at all. Comment is invited on paragraph (b)(2) in particular, and on whether a second figure computed under a strategy representing an average uninstructed player would be more useful than the two extremes.</w:t>
      </w:r>
    </w:p>
    <w:p>
      <w:pPr>
        <w:spacing w:after="120"/>
        <w:ind w:left="504" w:hanging="504"/>
      </w:pPr>
      <w:r>
        <w:rPr>
          <w:rFonts w:ascii="Times New Roman" w:hAnsi="Times New Roman"/>
          <w:b/>
          <w:sz w:val="22"/>
        </w:rPr>
        <w:t xml:space="preserve">3.   </w:t>
      </w:r>
      <w:r>
        <w:rPr>
          <w:rFonts w:ascii="Times New Roman" w:hAnsi="Times New Roman"/>
          <w:b/>
          <w:sz w:val="22"/>
        </w:rPr>
        <w:t>The skill time cost ratio in § 815(e).</w:t>
      </w:r>
      <w:r>
        <w:rPr>
          <w:rFonts w:ascii="Times New Roman" w:hAnsi="Times New Roman"/>
          <w:sz w:val="22"/>
        </w:rPr>
        <w:t xml:space="preserve"> Twenty. Comment is invited on the figure and on whether the measure should instead be stated as value returned per unit of time, which is closer to what a player experiences.</w:t>
      </w:r>
    </w:p>
    <w:p>
      <w:pPr>
        <w:spacing w:after="120"/>
        <w:ind w:left="504" w:hanging="504"/>
      </w:pPr>
      <w:r>
        <w:rPr>
          <w:rFonts w:ascii="Times New Roman" w:hAnsi="Times New Roman"/>
          <w:b/>
          <w:sz w:val="22"/>
        </w:rPr>
        <w:t xml:space="preserve">4.   </w:t>
      </w:r>
      <w:r>
        <w:rPr>
          <w:rFonts w:ascii="Times New Roman" w:hAnsi="Times New Roman"/>
          <w:b/>
          <w:sz w:val="22"/>
        </w:rPr>
        <w:t>Instrumentation in § 816.</w:t>
      </w:r>
      <w:r>
        <w:rPr>
          <w:rFonts w:ascii="Times New Roman" w:hAnsi="Times New Roman"/>
          <w:sz w:val="22"/>
        </w:rPr>
        <w:t xml:space="preserve"> Comment is invited from manufacturers on the cost of recording and transmitting the six fields, and on whether any of them cannot be captured on existing hardware.</w:t>
      </w:r>
    </w:p>
    <w:p>
      <w:pPr>
        <w:spacing w:after="120"/>
        <w:ind w:left="504" w:hanging="504"/>
      </w:pPr>
      <w:r>
        <w:rPr>
          <w:rFonts w:ascii="Times New Roman" w:hAnsi="Times New Roman"/>
          <w:b/>
          <w:sz w:val="22"/>
        </w:rPr>
        <w:t xml:space="preserve">5.   </w:t>
      </w:r>
      <w:r>
        <w:rPr>
          <w:rFonts w:ascii="Times New Roman" w:hAnsi="Times New Roman"/>
          <w:b/>
          <w:sz w:val="22"/>
        </w:rPr>
        <w:t>The prohibitions in § 818.</w:t>
      </w:r>
      <w:r>
        <w:rPr>
          <w:rFonts w:ascii="Times New Roman" w:hAnsi="Times New Roman"/>
          <w:sz w:val="22"/>
        </w:rPr>
        <w:t xml:space="preserve"> Comment is invited on whether any of them would prohibit a design that is legitimate, in particular subsection (g), which prevents a device from withdrawing a skill element from a player who has used it successfully.</w:t>
      </w:r>
    </w:p>
    <w:p>
      <w:pPr>
        <w:spacing w:after="120"/>
        <w:ind w:left="504" w:hanging="504"/>
      </w:pPr>
      <w:r>
        <w:rPr>
          <w:rFonts w:ascii="Times New Roman" w:hAnsi="Times New Roman"/>
          <w:b/>
          <w:sz w:val="22"/>
        </w:rPr>
        <w:t xml:space="preserve">6.   </w:t>
      </w:r>
      <w:r>
        <w:rPr>
          <w:rFonts w:ascii="Times New Roman" w:hAnsi="Times New Roman"/>
          <w:b/>
          <w:sz w:val="22"/>
        </w:rPr>
        <w:t>The five minute transmission interval in § 851(b) and the twenty four hour tolerance in § 851(d).</w:t>
      </w:r>
      <w:r>
        <w:rPr>
          <w:rFonts w:ascii="Times New Roman" w:hAnsi="Times New Roman"/>
          <w:sz w:val="22"/>
        </w:rPr>
        <w:t xml:space="preserve"> Comment is invited from operators in areas with limited connectivity.</w:t>
      </w:r>
    </w:p>
    <w:p>
      <w:pPr>
        <w:spacing w:after="120"/>
        <w:ind w:left="504" w:hanging="504"/>
      </w:pPr>
      <w:r>
        <w:rPr>
          <w:rFonts w:ascii="Times New Roman" w:hAnsi="Times New Roman"/>
          <w:b/>
          <w:sz w:val="22"/>
        </w:rPr>
        <w:t xml:space="preserve">7.   </w:t>
      </w:r>
      <w:r>
        <w:rPr>
          <w:rFonts w:ascii="Times New Roman" w:hAnsi="Times New Roman"/>
          <w:b/>
          <w:sz w:val="22"/>
        </w:rPr>
        <w:t>Laboratory accreditation in § 881(a)(3).</w:t>
      </w:r>
      <w:r>
        <w:rPr>
          <w:rFonts w:ascii="Times New Roman" w:hAnsi="Times New Roman"/>
          <w:sz w:val="22"/>
        </w:rPr>
        <w:t xml:space="preserve"> The standard requires ISO/IEC 17025 accreditation for gaming device testing or an equivalent recognized by a gaming regulatory authority. Comment is invited on whether a jurisdiction that today accepts amusement device testing should be permitted a transition period.</w:t>
      </w:r>
    </w:p>
    <w:p>
      <w:pPr>
        <w:spacing w:after="120"/>
        <w:ind w:left="504" w:hanging="504"/>
      </w:pPr>
      <w:r>
        <w:rPr>
          <w:rFonts w:ascii="Times New Roman" w:hAnsi="Times New Roman"/>
          <w:b/>
          <w:sz w:val="22"/>
        </w:rPr>
        <w:t xml:space="preserve">8.   </w:t>
      </w:r>
      <w:r>
        <w:rPr>
          <w:rFonts w:ascii="Times New Roman" w:hAnsi="Times New Roman"/>
          <w:b/>
          <w:sz w:val="22"/>
        </w:rPr>
        <w:t>Products delivered other than by a dedicated device.</w:t>
      </w:r>
      <w:r>
        <w:rPr>
          <w:rFonts w:ascii="Times New Roman" w:hAnsi="Times New Roman"/>
          <w:sz w:val="22"/>
        </w:rPr>
        <w:t xml:space="preserve"> This standard assumes a device in a host location. Comment is invited on what would have to change for a covered product delivered through a personal mobile application under charitable gaming authority, in particular in Parts 830 and 870.</w:t>
      </w:r>
    </w:p>
    <w:p>
      <w:pPr>
        <w:jc w:val="both"/>
      </w:pPr>
      <w:r>
        <w:rPr>
          <w:rFonts w:ascii="Times New Roman" w:hAnsi="Times New Roman"/>
          <w:sz w:val="22"/>
        </w:rPr>
        <w:t>End of SBCGS-T Version 1.3 Working Draft.</w:t>
      </w:r>
    </w:p>
    <w:p>
      <w:r>
        <w:br w:type="page"/>
      </w:r>
    </w:p>
    <w:p>
      <w:pPr>
        <w:pStyle w:val="Heading1"/>
        <w:spacing w:before="0"/>
        <w:pBdr>
          <w:bottom w:val="single" w:sz="8" w:space="6" w:color="143C46"/>
        </w:pBdr>
      </w:pPr>
      <w:r>
        <w:rPr>
          <w:rFonts w:ascii="Times New Roman" w:hAnsi="Times New Roman"/>
          <w:b/>
          <w:color w:val="000000"/>
          <w:sz w:val="30"/>
        </w:rPr>
        <w:t>Revision history</w:t>
      </w:r>
    </w:p>
    <w:tbl>
      <w:tblPr>
        <w:tblStyle w:val="TableGrid"/>
        <w:tblW w:type="auto" w:w="0"/>
        <w:jc w:val="center"/>
        <w:tblLook w:firstColumn="1" w:firstRow="1" w:lastColumn="0" w:lastRow="0" w:noHBand="0" w:noVBand="1" w:val="04A0"/>
      </w:tblPr>
      <w:tblGrid>
        <w:gridCol w:w="1786"/>
        <w:gridCol w:w="1786"/>
        <w:gridCol w:w="1786"/>
        <w:gridCol w:w="1786"/>
        <w:gridCol w:w="1786"/>
      </w:tblGrid>
      <w:tr>
        <w:tc>
          <w:tcPr>
            <w:tcW w:type="dxa" w:w="1786"/>
            <w:shd w:val="clear" w:color="auto" w:fill="E8ECEF"/>
          </w:tcPr>
          <w:p>
            <w:r/>
            <w:r>
              <w:rPr>
                <w:rFonts w:ascii="Calibri" w:hAnsi="Calibri"/>
                <w:b/>
                <w:sz w:val="17"/>
              </w:rPr>
              <w:t>Version</w:t>
            </w:r>
          </w:p>
        </w:tc>
        <w:tc>
          <w:tcPr>
            <w:tcW w:type="dxa" w:w="1786"/>
            <w:shd w:val="clear" w:color="auto" w:fill="E8ECEF"/>
          </w:tcPr>
          <w:p>
            <w:r/>
            <w:r>
              <w:rPr>
                <w:rFonts w:ascii="Calibri" w:hAnsi="Calibri"/>
                <w:b/>
                <w:sz w:val="17"/>
              </w:rPr>
              <w:t>Date</w:t>
            </w:r>
          </w:p>
        </w:tc>
        <w:tc>
          <w:tcPr>
            <w:tcW w:type="dxa" w:w="1786"/>
            <w:shd w:val="clear" w:color="auto" w:fill="E8ECEF"/>
          </w:tcPr>
          <w:p>
            <w:r/>
            <w:r>
              <w:rPr>
                <w:rFonts w:ascii="Calibri" w:hAnsi="Calibri"/>
                <w:b/>
                <w:sz w:val="17"/>
              </w:rPr>
              <w:t>Class</w:t>
            </w:r>
          </w:p>
        </w:tc>
        <w:tc>
          <w:tcPr>
            <w:tcW w:type="dxa" w:w="1786"/>
            <w:shd w:val="clear" w:color="auto" w:fill="E8ECEF"/>
          </w:tcPr>
          <w:p>
            <w:r/>
            <w:r>
              <w:rPr>
                <w:rFonts w:ascii="Calibri" w:hAnsi="Calibri"/>
                <w:b/>
                <w:sz w:val="17"/>
              </w:rPr>
              <w:t>Summary</w:t>
            </w:r>
          </w:p>
        </w:tc>
        <w:tc>
          <w:tcPr>
            <w:tcW w:type="dxa" w:w="1786"/>
            <w:shd w:val="clear" w:color="auto" w:fill="E8ECEF"/>
          </w:tcPr>
          <w:p>
            <w:r/>
            <w:r>
              <w:rPr>
                <w:rFonts w:ascii="Calibri" w:hAnsi="Calibri"/>
                <w:b/>
                <w:sz w:val="17"/>
              </w:rPr>
              <w:t>Extent</w:t>
            </w:r>
          </w:p>
        </w:tc>
      </w:tr>
      <w:tr>
        <w:tc>
          <w:tcPr>
            <w:tcW w:type="dxa" w:w="1786"/>
          </w:tcPr>
          <w:p>
            <w:r/>
            <w:r>
              <w:rPr>
                <w:rFonts w:ascii="Times New Roman" w:hAnsi="Times New Roman"/>
                <w:sz w:val="17"/>
              </w:rPr>
              <w:t>1.3</w:t>
            </w:r>
          </w:p>
        </w:tc>
        <w:tc>
          <w:tcPr>
            <w:tcW w:type="dxa" w:w="1786"/>
          </w:tcPr>
          <w:p>
            <w:r/>
            <w:r>
              <w:rPr>
                <w:rFonts w:ascii="Times New Roman" w:hAnsi="Times New Roman"/>
                <w:sz w:val="17"/>
              </w:rPr>
              <w:t>2026-09-11</w:t>
            </w:r>
          </w:p>
        </w:tc>
        <w:tc>
          <w:tcPr>
            <w:tcW w:type="dxa" w:w="1786"/>
          </w:tcPr>
          <w:p>
            <w:r/>
            <w:r>
              <w:rPr>
                <w:rFonts w:ascii="Times New Roman" w:hAnsi="Times New Roman"/>
                <w:sz w:val="17"/>
              </w:rPr>
              <w:t>Substantive</w:t>
            </w:r>
          </w:p>
        </w:tc>
        <w:tc>
          <w:tcPr>
            <w:tcW w:type="dxa" w:w="1786"/>
          </w:tcPr>
          <w:p>
            <w:r/>
            <w:r>
              <w:rPr>
                <w:rFonts w:ascii="Times New Roman" w:hAnsi="Times New Roman"/>
                <w:sz w:val="17"/>
              </w:rPr>
              <w:t>Print stylesheet corrected. In every earlier PDF a table wider than the page was clipped rather than wrapped, so words in the rightmost column of wide tables were not drawn at all, including one word in the § 881 laboratory table. Those words now render. Revision history block added before the License and naming block and in the contents. Prefatory revision note removed, superseded by that block. No requirement text changed.</w:t>
            </w:r>
          </w:p>
        </w:tc>
        <w:tc>
          <w:tcPr>
            <w:tcW w:type="dxa" w:w="1786"/>
          </w:tcPr>
          <w:p>
            <w:r/>
            <w:r>
              <w:rPr>
                <w:rFonts w:ascii="Times New Roman" w:hAnsi="Times New Roman"/>
                <w:sz w:val="17"/>
              </w:rPr>
              <w:t>72 rendered lines, 30 to 30 pages</w:t>
            </w:r>
          </w:p>
        </w:tc>
      </w:tr>
      <w:tr>
        <w:tc>
          <w:tcPr>
            <w:tcW w:type="dxa" w:w="1786"/>
          </w:tcPr>
          <w:p>
            <w:r/>
            <w:r>
              <w:rPr>
                <w:rFonts w:ascii="Times New Roman" w:hAnsi="Times New Roman"/>
                <w:sz w:val="17"/>
              </w:rPr>
              <w:t>1.2</w:t>
            </w:r>
          </w:p>
        </w:tc>
        <w:tc>
          <w:tcPr>
            <w:tcW w:type="dxa" w:w="1786"/>
          </w:tcPr>
          <w:p>
            <w:r/>
            <w:r>
              <w:rPr>
                <w:rFonts w:ascii="Times New Roman" w:hAnsi="Times New Roman"/>
                <w:sz w:val="17"/>
              </w:rPr>
              <w:t>2026-09-03</w:t>
            </w:r>
          </w:p>
        </w:tc>
        <w:tc>
          <w:tcPr>
            <w:tcW w:type="dxa" w:w="1786"/>
          </w:tcPr>
          <w:p>
            <w:r/>
            <w:r>
              <w:rPr>
                <w:rFonts w:ascii="Times New Roman" w:hAnsi="Times New Roman"/>
                <w:sz w:val="17"/>
              </w:rPr>
              <w:t>Editorial</w:t>
            </w:r>
          </w:p>
        </w:tc>
        <w:tc>
          <w:tcPr>
            <w:tcW w:type="dxa" w:w="1786"/>
          </w:tcPr>
          <w:p>
            <w:r/>
            <w:r>
              <w:rPr>
                <w:rFonts w:ascii="Times New Roman" w:hAnsi="Times New Roman"/>
                <w:sz w:val="17"/>
              </w:rPr>
              <w:t>Prefatory revision note replaced. The version 1.1 note claimed a citation correction that the version 1.0 to 1.1 diff does not show. The replacement states that those corrections predate version 1.0. No requirement text changed.</w:t>
            </w:r>
          </w:p>
        </w:tc>
        <w:tc>
          <w:tcPr>
            <w:tcW w:type="dxa" w:w="1786"/>
          </w:tcPr>
          <w:p>
            <w:r/>
            <w:r>
              <w:rPr>
                <w:rFonts w:ascii="Times New Roman" w:hAnsi="Times New Roman"/>
                <w:sz w:val="17"/>
              </w:rPr>
              <w:t>14 rendered lines, 30 to 30 pages</w:t>
            </w:r>
          </w:p>
        </w:tc>
      </w:tr>
      <w:tr>
        <w:tc>
          <w:tcPr>
            <w:tcW w:type="dxa" w:w="1786"/>
          </w:tcPr>
          <w:p>
            <w:r/>
            <w:r>
              <w:rPr>
                <w:rFonts w:ascii="Times New Roman" w:hAnsi="Times New Roman"/>
                <w:sz w:val="17"/>
              </w:rPr>
              <w:t>1.1</w:t>
            </w:r>
          </w:p>
        </w:tc>
        <w:tc>
          <w:tcPr>
            <w:tcW w:type="dxa" w:w="1786"/>
          </w:tcPr>
          <w:p>
            <w:r/>
            <w:r>
              <w:rPr>
                <w:rFonts w:ascii="Times New Roman" w:hAnsi="Times New Roman"/>
                <w:sz w:val="17"/>
              </w:rPr>
              <w:t>2026-08-11</w:t>
            </w:r>
          </w:p>
        </w:tc>
        <w:tc>
          <w:tcPr>
            <w:tcW w:type="dxa" w:w="1786"/>
          </w:tcPr>
          <w:p>
            <w:r/>
            <w:r>
              <w:rPr>
                <w:rFonts w:ascii="Times New Roman" w:hAnsi="Times New Roman"/>
                <w:sz w:val="17"/>
              </w:rPr>
              <w:t>Editorial</w:t>
            </w:r>
          </w:p>
        </w:tc>
        <w:tc>
          <w:tcPr>
            <w:tcW w:type="dxa" w:w="1786"/>
          </w:tcPr>
          <w:p>
            <w:r/>
            <w:r>
              <w:rPr>
                <w:rFonts w:ascii="Times New Roman" w:hAnsi="Times New Roman"/>
                <w:sz w:val="17"/>
              </w:rPr>
              <w:t>License and naming block added at the end of the document. Version lineage stated on the cover. No requirement text changed.</w:t>
            </w:r>
          </w:p>
        </w:tc>
        <w:tc>
          <w:tcPr>
            <w:tcW w:type="dxa" w:w="1786"/>
          </w:tcPr>
          <w:p>
            <w:r/>
            <w:r>
              <w:rPr>
                <w:rFonts w:ascii="Times New Roman" w:hAnsi="Times New Roman"/>
                <w:sz w:val="17"/>
              </w:rPr>
              <w:t>23 rendered lines, 30 to 30 pages</w:t>
            </w:r>
          </w:p>
        </w:tc>
      </w:tr>
      <w:tr>
        <w:tc>
          <w:tcPr>
            <w:tcW w:type="dxa" w:w="1786"/>
          </w:tcPr>
          <w:p>
            <w:r/>
            <w:r>
              <w:rPr>
                <w:rFonts w:ascii="Times New Roman" w:hAnsi="Times New Roman"/>
                <w:sz w:val="17"/>
              </w:rPr>
              <w:t>1.0</w:t>
            </w:r>
          </w:p>
        </w:tc>
        <w:tc>
          <w:tcPr>
            <w:tcW w:type="dxa" w:w="1786"/>
          </w:tcPr>
          <w:p>
            <w:r/>
            <w:r>
              <w:rPr>
                <w:rFonts w:ascii="Times New Roman" w:hAnsi="Times New Roman"/>
                <w:sz w:val="17"/>
              </w:rPr>
              <w:t>2026-08-10</w:t>
            </w:r>
          </w:p>
        </w:tc>
        <w:tc>
          <w:tcPr>
            <w:tcW w:type="dxa" w:w="1786"/>
          </w:tcPr>
          <w:p>
            <w:r/>
            <w:r>
              <w:rPr>
                <w:rFonts w:ascii="Times New Roman" w:hAnsi="Times New Roman"/>
                <w:sz w:val="17"/>
              </w:rPr>
              <w:t>Editorial</w:t>
            </w:r>
          </w:p>
        </w:tc>
        <w:tc>
          <w:tcPr>
            <w:tcW w:type="dxa" w:w="1786"/>
          </w:tcPr>
          <w:p>
            <w:r/>
            <w:r>
              <w:rPr>
                <w:rFonts w:ascii="Times New Roman" w:hAnsi="Times New Roman"/>
                <w:sz w:val="17"/>
              </w:rPr>
              <w:t>First publication.</w:t>
            </w:r>
          </w:p>
        </w:tc>
        <w:tc>
          <w:tcPr>
            <w:tcW w:type="dxa" w:w="1786"/>
          </w:tcPr>
          <w:p>
            <w:r/>
            <w:r>
              <w:rPr>
                <w:rFonts w:ascii="Times New Roman" w:hAnsi="Times New Roman"/>
                <w:sz w:val="17"/>
              </w:rPr>
              <w:t>not published, 30 pages</w:t>
            </w:r>
          </w:p>
        </w:tc>
      </w:tr>
    </w:tbl>
    <w:p>
      <w:pPr>
        <w:spacing w:before="480" w:after="120"/>
        <w:pBdr>
          <w:top w:val="single" w:sz="4" w:space="10" w:color="8A8A8A"/>
        </w:pBdr>
      </w:pPr>
      <w:r>
        <w:rPr>
          <w:rFonts w:ascii="Calibri" w:hAnsi="Calibri"/>
          <w:b/>
          <w:color w:val="555555"/>
          <w:sz w:val="18"/>
        </w:rPr>
        <w:t>LICENSE AND NAMING</w:t>
      </w:r>
    </w:p>
    <w:p>
      <w:pPr>
        <w:spacing w:after="120"/>
      </w:pPr>
      <w:r>
        <w:rPr>
          <w:rFonts w:ascii="Times New Roman" w:hAnsi="Times New Roman"/>
          <w:color w:val="333333"/>
          <w:sz w:val="18"/>
        </w:rPr>
        <w:t>(c) 2026 Aevora Solutions LLC. Published by the Institute for Emerging Gaming Markets.</w:t>
      </w:r>
    </w:p>
    <w:p>
      <w:pPr>
        <w:spacing w:after="120"/>
      </w:pPr>
      <w:r>
        <w:rPr>
          <w:rFonts w:ascii="Times New Roman" w:hAnsi="Times New Roman"/>
          <w:color w:val="333333"/>
          <w:sz w:val="18"/>
        </w:rPr>
        <w:t>This document is licensed under the Creative Commons Attribution 4.0 International License (CC BY 4.0). You may copy, redistribute, adapt and build upon this material for any purpose, including commercially, provided you give appropriate credit to the Institute for Emerging Gaming Markets, provide a link to the license, and indicate whether changes were made. https://creativecommons.org/licenses/by/4.0/</w:t>
      </w:r>
    </w:p>
    <w:p>
      <w:pPr>
        <w:spacing w:after="120"/>
      </w:pPr>
      <w:r>
        <w:rPr>
          <w:rFonts w:ascii="Times New Roman" w:hAnsi="Times New Roman"/>
          <w:color w:val="333333"/>
          <w:sz w:val="18"/>
        </w:rPr>
        <w:t>SBCGS and Institute for Emerging Gaming Markets identify the source of this document. A modified version may not be described as SBCGS-C, SBCGS-M or SBCGS-T, or as an Institute standard. Conformance with this standard may be claimed only in respect of the document as published, without modification.</w:t>
      </w:r>
    </w:p>
    <w:p>
      <w:pPr>
        <w:spacing w:before="520"/>
        <w:jc w:val="center"/>
        <w:pBdr>
          <w:top w:val="single" w:sz="4" w:space="12" w:color="8A8A8A"/>
        </w:pBdr>
      </w:pPr>
      <w:r>
        <w:rPr>
          <w:rFonts w:ascii="Calibri" w:hAnsi="Calibri"/>
          <w:b/>
          <w:color w:val="333333"/>
          <w:sz w:val="16"/>
        </w:rPr>
        <w:t>Institute for Emerging Gaming Markets</w:t>
      </w:r>
      <w:r>
        <w:br/>
      </w:r>
      <w:r>
        <w:rPr>
          <w:rFonts w:ascii="Calibri" w:hAnsi="Calibri"/>
          <w:b w:val="0"/>
          <w:color w:val="555555"/>
          <w:sz w:val="16"/>
        </w:rPr>
        <w:t>A standards body under Aevora Solutions LLC</w:t>
      </w:r>
      <w:r>
        <w:br/>
      </w:r>
      <w:r>
        <w:rPr>
          <w:rFonts w:ascii="Calibri" w:hAnsi="Calibri"/>
          <w:b w:val="0"/>
          <w:color w:val="555555"/>
          <w:sz w:val="16"/>
        </w:rPr>
        <w:t>Charleston, South Carolina  ·  iegm.org</w:t>
      </w:r>
      <w:r>
        <w:br/>
      </w:r>
      <w:r>
        <w:rPr>
          <w:rFonts w:ascii="Calibri" w:hAnsi="Calibri"/>
          <w:b w:val="0"/>
          <w:color w:val="555555"/>
          <w:sz w:val="16"/>
        </w:rPr>
      </w:r>
      <w:r>
        <w:br/>
      </w:r>
      <w:r>
        <w:rPr>
          <w:rFonts w:ascii="Calibri" w:hAnsi="Calibri"/>
          <w:b w:val="0"/>
          <w:color w:val="555555"/>
          <w:sz w:val="16"/>
        </w:rPr>
        <w:t>SBCGS-T Version 1.3, Working Draft. This document has not been adopted by any regulatory authority.</w:t>
      </w:r>
    </w:p>
    <w:sectPr w:rsidR="00FC693F" w:rsidRPr="0006063C" w:rsidSect="00034616">
      <w:headerReference w:type="default" r:id="rId9"/>
      <w:footerReference w:type="default" r:id="rId10"/>
      <w:pgSz w:w="12240" w:h="15840"/>
      <w:pgMar w:top="1440" w:right="1656" w:bottom="1440" w:left="1656" w:header="792"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555555"/>
        <w:sz w:val="16"/>
      </w:rPr>
      <w:t xml:space="preserve">Prepared by Tony Morelli, PhD  ·  Institute for Emerging Gaming Markets  ·  Charleston, SC  ·  Page </w:t>
    </w:r>
    <w:r>
      <w:rPr>
        <w:rFonts w:ascii="Calibri" w:hAnsi="Calibri"/>
        <w:color w:val="555555"/>
        <w:sz w:val="16"/>
      </w:rPr>
      <w:fldChar w:fldCharType="begin"/>
      <w:instrText xml:space="preserve">PAGE</w:instrText>
      <w:fldChar w:fldCharType="separate"/>
      <w:t> </w:t>
      <w:fldChar w:fldCharType="end"/>
    </w:r>
    <w:r>
      <w:rPr>
        <w:rFonts w:ascii="Calibri" w:hAnsi="Calibri"/>
        <w:color w:val="555555"/>
        <w:sz w:val="16"/>
      </w:rPr>
      <w:t xml:space="preserve"> of </w:t>
    </w:r>
    <w:r>
      <w:rPr>
        <w:rFonts w:ascii="Calibri" w:hAnsi="Calibri"/>
        <w:color w:val="555555"/>
        <w:sz w:val="16"/>
      </w:rPr>
      <w:fldChar w:fldCharType="begin"/>
      <w:instrText xml:space="preserve">NUMPAGES</w:instrText>
      <w:fldChar w:fldCharType="separate"/>
      <w:t> </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4" w:space="4" w:color="8A8A8A"/>
      </w:pBdr>
    </w:pPr>
    <w:r>
      <w:rPr>
        <w:rFonts w:ascii="Calibri" w:hAnsi="Calibri"/>
        <w:color w:val="555555"/>
        <w:sz w:val="16"/>
      </w:rPr>
      <w:t>Skill-Based Charitable Gaming Standards    ·    SBCGS-T    ·    Technical Standards    ·    Working 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4"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40"/>
      <w:outlineLvl w:val="0"/>
    </w:pPr>
    <w:rPr>
      <w:rFonts w:asciiTheme="majorHAnsi" w:eastAsiaTheme="majorEastAsia" w:hAnsiTheme="majorHAnsi" w:cstheme="majorBidi" w:ascii="Times New Roman" w:hAnsi="Times New Roman"/>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Times New Roman" w:hAnsi="Times New Roman"/>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SBCGS-T v1.3 Technical Standards</dc:title>
  <dc:subject>Skill-Based Charitable Gaming Standards</dc:subject>
  <dc:creator>Institute for Emerging Gaming Markets</dc:creator>
  <cp:keywords>SBCGS, SBCGS-T, Technical Standards, working draft</cp:keywords>
  <dc:description>(c) 2026 Aevora Solutions LLC. Published by the Institute for Emerging Gaming Markets.</dc:description>
  <cp:lastModifiedBy>Institute for Emerging Gaming Markets</cp:lastModifiedBy>
  <cp:revision>1</cp:revision>
  <dcterms:created xsi:type="dcterms:W3CDTF">2013-12-23T23:15:00Z</dcterms:created>
  <dcterms:modified xsi:type="dcterms:W3CDTF">2013-12-23T23:15:00Z</dcterms:modified>
  <cp:category>Standard</cp:category>
</cp:coreProperties>
</file>